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358494" w14:textId="4EAFEA76" w:rsidR="00341DDC" w:rsidRPr="00E67301" w:rsidRDefault="0066279F">
      <w:pPr>
        <w:adjustRightInd w:val="0"/>
        <w:snapToGrid w:val="0"/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证券代码：</w:t>
      </w:r>
      <w:r>
        <w:rPr>
          <w:rFonts w:ascii="Times New Roman" w:hAnsi="Times New Roman"/>
          <w:b/>
          <w:sz w:val="24"/>
        </w:rPr>
        <w:t xml:space="preserve">603658         </w:t>
      </w:r>
      <w:r>
        <w:rPr>
          <w:rFonts w:ascii="Times New Roman" w:hAnsi="Times New Roman"/>
          <w:b/>
          <w:sz w:val="24"/>
        </w:rPr>
        <w:t>证券简称：安图生物</w:t>
      </w:r>
      <w:r>
        <w:rPr>
          <w:rFonts w:ascii="Times New Roman" w:hAnsi="Times New Roman"/>
          <w:b/>
          <w:sz w:val="24"/>
        </w:rPr>
        <w:t xml:space="preserve">         </w:t>
      </w:r>
      <w:bookmarkStart w:id="0" w:name="OLE_LINK4"/>
      <w:r w:rsidRPr="00E67301">
        <w:rPr>
          <w:rFonts w:ascii="Times New Roman" w:hAnsi="Times New Roman"/>
          <w:b/>
          <w:sz w:val="24"/>
        </w:rPr>
        <w:t>公告编号：</w:t>
      </w:r>
      <w:r w:rsidRPr="00E67301">
        <w:rPr>
          <w:rFonts w:ascii="Times New Roman" w:hAnsi="Times New Roman"/>
          <w:b/>
          <w:sz w:val="24"/>
        </w:rPr>
        <w:t>202</w:t>
      </w:r>
      <w:r w:rsidRPr="00E67301">
        <w:rPr>
          <w:rFonts w:ascii="Times New Roman" w:hAnsi="Times New Roman"/>
          <w:b/>
          <w:sz w:val="24"/>
        </w:rPr>
        <w:t>4</w:t>
      </w:r>
      <w:r w:rsidRPr="00E67301">
        <w:rPr>
          <w:rFonts w:ascii="Times New Roman" w:hAnsi="Times New Roman"/>
          <w:b/>
          <w:sz w:val="24"/>
        </w:rPr>
        <w:t>-</w:t>
      </w:r>
      <w:r w:rsidRPr="00E67301">
        <w:rPr>
          <w:rFonts w:ascii="Times New Roman" w:hAnsi="Times New Roman" w:hint="eastAsia"/>
          <w:b/>
          <w:sz w:val="24"/>
        </w:rPr>
        <w:t>0</w:t>
      </w:r>
      <w:r w:rsidR="001F4DFE" w:rsidRPr="00E67301">
        <w:rPr>
          <w:rFonts w:ascii="Times New Roman" w:hAnsi="Times New Roman" w:hint="eastAsia"/>
          <w:b/>
          <w:sz w:val="24"/>
        </w:rPr>
        <w:t>65</w:t>
      </w:r>
    </w:p>
    <w:bookmarkEnd w:id="0"/>
    <w:p w14:paraId="78DFC342" w14:textId="77777777" w:rsidR="00341DDC" w:rsidRDefault="00341DDC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sz w:val="24"/>
        </w:rPr>
      </w:pPr>
    </w:p>
    <w:p w14:paraId="37104B98" w14:textId="77777777" w:rsidR="00341DDC" w:rsidRDefault="0066279F" w:rsidP="001F4DFE">
      <w:pPr>
        <w:spacing w:beforeLines="100" w:before="312" w:line="360" w:lineRule="auto"/>
        <w:jc w:val="center"/>
        <w:rPr>
          <w:rFonts w:ascii="Times New Roman" w:eastAsia="黑体" w:hAnsi="Times New Roman"/>
          <w:b/>
          <w:sz w:val="36"/>
          <w:szCs w:val="36"/>
        </w:rPr>
      </w:pPr>
      <w:bookmarkStart w:id="1" w:name="OLE_LINK3"/>
      <w:r>
        <w:rPr>
          <w:rFonts w:ascii="Times New Roman" w:eastAsia="黑体" w:hAnsi="Times New Roman"/>
          <w:b/>
          <w:sz w:val="36"/>
          <w:szCs w:val="36"/>
        </w:rPr>
        <w:t>郑州安图生物工程股份有限公司</w:t>
      </w:r>
      <w:bookmarkEnd w:id="1"/>
    </w:p>
    <w:p w14:paraId="45BF0436" w14:textId="77777777" w:rsidR="00341DDC" w:rsidRDefault="0066279F">
      <w:pPr>
        <w:spacing w:line="360" w:lineRule="auto"/>
        <w:jc w:val="center"/>
        <w:rPr>
          <w:rFonts w:ascii="Times New Roman" w:eastAsia="黑体" w:hAnsi="Times New Roman"/>
          <w:b/>
          <w:color w:val="000000"/>
          <w:kern w:val="0"/>
          <w:sz w:val="36"/>
          <w:szCs w:val="36"/>
        </w:rPr>
      </w:pPr>
      <w:r>
        <w:rPr>
          <w:rFonts w:ascii="Times New Roman" w:eastAsia="黑体" w:hAnsi="Times New Roman"/>
          <w:b/>
          <w:color w:val="000000"/>
          <w:kern w:val="0"/>
          <w:sz w:val="36"/>
          <w:szCs w:val="36"/>
        </w:rPr>
        <w:t>关于</w:t>
      </w:r>
      <w:r>
        <w:rPr>
          <w:rFonts w:ascii="Times New Roman" w:eastAsia="黑体" w:hAnsi="Times New Roman" w:hint="eastAsia"/>
          <w:b/>
          <w:color w:val="000000"/>
          <w:kern w:val="0"/>
          <w:sz w:val="36"/>
          <w:szCs w:val="36"/>
        </w:rPr>
        <w:t>控股股东</w:t>
      </w:r>
      <w:r>
        <w:rPr>
          <w:rFonts w:ascii="Times New Roman" w:eastAsia="黑体" w:hAnsi="Times New Roman"/>
          <w:b/>
          <w:color w:val="000000"/>
          <w:kern w:val="0"/>
          <w:sz w:val="36"/>
          <w:szCs w:val="36"/>
        </w:rPr>
        <w:t>增持公司股份的</w:t>
      </w:r>
      <w:r>
        <w:rPr>
          <w:rFonts w:ascii="Times New Roman" w:eastAsia="黑体" w:hAnsi="Times New Roman" w:hint="eastAsia"/>
          <w:b/>
          <w:color w:val="000000"/>
          <w:kern w:val="0"/>
          <w:sz w:val="36"/>
          <w:szCs w:val="36"/>
        </w:rPr>
        <w:t>进展</w:t>
      </w:r>
      <w:r>
        <w:rPr>
          <w:rFonts w:ascii="Times New Roman" w:eastAsia="黑体" w:hAnsi="Times New Roman"/>
          <w:b/>
          <w:color w:val="000000"/>
          <w:kern w:val="0"/>
          <w:sz w:val="36"/>
          <w:szCs w:val="36"/>
        </w:rPr>
        <w:t>公告</w:t>
      </w:r>
    </w:p>
    <w:p w14:paraId="587A90DB" w14:textId="77777777" w:rsidR="00341DDC" w:rsidRDefault="00662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50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>本公司董事会及全体董事保证本公告内容不存在任何虚假记载、误导性陈述或者重大遗漏，并对其内容的真实性、准确性和完整性承担法律责任。</w:t>
      </w:r>
    </w:p>
    <w:p w14:paraId="698507B6" w14:textId="77777777" w:rsidR="00341DDC" w:rsidRDefault="0066279F" w:rsidP="001F4DFE">
      <w:pPr>
        <w:adjustRightInd w:val="0"/>
        <w:snapToGrid w:val="0"/>
        <w:spacing w:beforeLines="100" w:before="312" w:line="520" w:lineRule="atLeast"/>
        <w:ind w:firstLineChars="200" w:firstLine="48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重要内容提示：</w:t>
      </w:r>
    </w:p>
    <w:p w14:paraId="1B12BAA2" w14:textId="1A445538" w:rsidR="00341DDC" w:rsidRDefault="0066279F">
      <w:pPr>
        <w:numPr>
          <w:ilvl w:val="0"/>
          <w:numId w:val="1"/>
        </w:numPr>
        <w:adjustRightInd w:val="0"/>
        <w:snapToGrid w:val="0"/>
        <w:spacing w:line="520" w:lineRule="atLeast"/>
        <w:ind w:left="840"/>
        <w:rPr>
          <w:rFonts w:ascii="Times New Roman" w:eastAsia="黑体" w:hAnsi="Times New Roman"/>
          <w:b/>
          <w:color w:val="000000"/>
          <w:kern w:val="0"/>
          <w:sz w:val="32"/>
          <w:szCs w:val="32"/>
        </w:rPr>
      </w:pPr>
      <w:r>
        <w:rPr>
          <w:rFonts w:ascii="Times New Roman" w:hAnsi="Times New Roman"/>
          <w:color w:val="000000"/>
          <w:sz w:val="24"/>
          <w:szCs w:val="24"/>
        </w:rPr>
        <w:t>增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持计划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基本情况</w:t>
      </w:r>
      <w:r>
        <w:rPr>
          <w:rFonts w:ascii="Times New Roman" w:hAnsi="Times New Roman"/>
          <w:color w:val="000000"/>
          <w:sz w:val="24"/>
          <w:szCs w:val="24"/>
        </w:rPr>
        <w:t>：</w:t>
      </w:r>
      <w:r>
        <w:rPr>
          <w:rFonts w:ascii="Times New Roman" w:hAnsi="Times New Roman"/>
          <w:color w:val="000000"/>
          <w:sz w:val="24"/>
          <w:szCs w:val="24"/>
        </w:rPr>
        <w:t>基于对郑州安图生物工程股份有限公司</w:t>
      </w:r>
      <w:r>
        <w:rPr>
          <w:rFonts w:ascii="Times New Roman" w:hAnsi="Times New Roman" w:hint="eastAsia"/>
          <w:color w:val="000000"/>
          <w:sz w:val="24"/>
          <w:szCs w:val="24"/>
        </w:rPr>
        <w:t>（以下简称“</w:t>
      </w:r>
      <w:r>
        <w:rPr>
          <w:rFonts w:ascii="Times New Roman" w:hAnsi="Times New Roman"/>
          <w:color w:val="000000"/>
          <w:sz w:val="24"/>
          <w:szCs w:val="24"/>
        </w:rPr>
        <w:t>公司</w:t>
      </w:r>
      <w:r>
        <w:rPr>
          <w:rFonts w:ascii="Times New Roman" w:hAnsi="Times New Roman" w:hint="eastAsia"/>
          <w:color w:val="000000"/>
          <w:sz w:val="24"/>
          <w:szCs w:val="24"/>
        </w:rPr>
        <w:t>”）</w:t>
      </w:r>
      <w:r>
        <w:rPr>
          <w:rFonts w:ascii="Times New Roman" w:hAnsi="Times New Roman"/>
          <w:color w:val="000000"/>
          <w:sz w:val="24"/>
          <w:szCs w:val="24"/>
        </w:rPr>
        <w:t>未来发展前景的信心及对公司价值的认可，</w:t>
      </w:r>
      <w:r>
        <w:rPr>
          <w:rFonts w:ascii="Times New Roman" w:hAnsi="Times New Roman" w:hint="eastAsia"/>
          <w:color w:val="000000"/>
          <w:sz w:val="24"/>
          <w:szCs w:val="24"/>
        </w:rPr>
        <w:t>同时为切实维护广大投资者权益，增强投资者信心，公司控股股东</w:t>
      </w:r>
      <w:r w:rsidR="0035693E">
        <w:rPr>
          <w:rFonts w:ascii="Times New Roman" w:hAnsi="Times New Roman" w:hint="eastAsia"/>
          <w:color w:val="000000"/>
          <w:sz w:val="24"/>
          <w:szCs w:val="24"/>
        </w:rPr>
        <w:t>郑州</w:t>
      </w:r>
      <w:r>
        <w:rPr>
          <w:rFonts w:ascii="Times New Roman" w:hAnsi="Times New Roman" w:hint="eastAsia"/>
          <w:color w:val="000000"/>
          <w:sz w:val="24"/>
          <w:szCs w:val="24"/>
        </w:rPr>
        <w:t>安图实业</w:t>
      </w:r>
      <w:r w:rsidR="0035693E">
        <w:rPr>
          <w:rFonts w:ascii="Times New Roman" w:hAnsi="Times New Roman" w:hint="eastAsia"/>
          <w:color w:val="000000"/>
          <w:sz w:val="24"/>
          <w:szCs w:val="24"/>
        </w:rPr>
        <w:t>集团股份有限公司（以下简称“安图实业”）</w:t>
      </w:r>
      <w:r>
        <w:rPr>
          <w:rFonts w:ascii="Times New Roman" w:hAnsi="Times New Roman"/>
          <w:color w:val="000000"/>
          <w:sz w:val="24"/>
          <w:szCs w:val="24"/>
        </w:rPr>
        <w:t>计划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自首次增持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之日</w:t>
      </w:r>
      <w:r>
        <w:rPr>
          <w:rFonts w:ascii="Times New Roman" w:hAnsi="Times New Roman" w:hint="eastAsia"/>
          <w:color w:val="000000"/>
          <w:sz w:val="24"/>
          <w:szCs w:val="24"/>
        </w:rPr>
        <w:t>（</w:t>
      </w:r>
      <w:r>
        <w:rPr>
          <w:rFonts w:ascii="Times New Roman" w:hAnsi="Times New Roman"/>
          <w:color w:val="000000"/>
          <w:sz w:val="24"/>
          <w:szCs w:val="24"/>
        </w:rPr>
        <w:t>2024</w:t>
      </w:r>
      <w:r>
        <w:rPr>
          <w:rFonts w:ascii="Times New Roman" w:hAnsi="Times New Roman"/>
          <w:color w:val="000000"/>
          <w:sz w:val="24"/>
          <w:szCs w:val="24"/>
        </w:rPr>
        <w:t>年</w:t>
      </w:r>
      <w:r>
        <w:rPr>
          <w:rFonts w:ascii="Times New Roman" w:hAnsi="Times New Roman" w:hint="eastAsia"/>
          <w:color w:val="000000"/>
          <w:sz w:val="24"/>
          <w:szCs w:val="24"/>
        </w:rPr>
        <w:t>8</w:t>
      </w:r>
      <w:r>
        <w:rPr>
          <w:rFonts w:ascii="Times New Roman" w:hAnsi="Times New Roman"/>
          <w:color w:val="000000"/>
          <w:sz w:val="24"/>
          <w:szCs w:val="24"/>
        </w:rPr>
        <w:t>月</w:t>
      </w:r>
      <w:r>
        <w:rPr>
          <w:rFonts w:ascii="Times New Roman" w:hAnsi="Times New Roman" w:hint="eastAsia"/>
          <w:color w:val="000000"/>
          <w:sz w:val="24"/>
          <w:szCs w:val="24"/>
        </w:rPr>
        <w:t>21</w:t>
      </w:r>
      <w:r>
        <w:rPr>
          <w:rFonts w:ascii="Times New Roman" w:hAnsi="Times New Roman"/>
          <w:color w:val="000000"/>
          <w:sz w:val="24"/>
          <w:szCs w:val="24"/>
        </w:rPr>
        <w:t>日</w:t>
      </w:r>
      <w:r>
        <w:rPr>
          <w:rFonts w:ascii="Times New Roman" w:hAnsi="Times New Roman" w:hint="eastAsia"/>
          <w:color w:val="000000"/>
          <w:sz w:val="24"/>
          <w:szCs w:val="24"/>
        </w:rPr>
        <w:t>）</w:t>
      </w:r>
      <w:r>
        <w:rPr>
          <w:rFonts w:ascii="Times New Roman" w:hAnsi="Times New Roman"/>
          <w:color w:val="000000"/>
          <w:sz w:val="24"/>
          <w:szCs w:val="24"/>
        </w:rPr>
        <w:t>起</w:t>
      </w:r>
      <w:r>
        <w:rPr>
          <w:rFonts w:ascii="Times New Roman" w:hAnsi="Times New Roman"/>
          <w:color w:val="000000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>个月内，以其自</w:t>
      </w:r>
      <w:r>
        <w:rPr>
          <w:rFonts w:ascii="Times New Roman" w:hAnsi="Times New Roman"/>
          <w:color w:val="000000"/>
          <w:sz w:val="24"/>
          <w:szCs w:val="24"/>
        </w:rPr>
        <w:t>有资金通过上海证券交易所系统以集中竞价交易</w:t>
      </w:r>
      <w:r>
        <w:rPr>
          <w:rFonts w:ascii="Times New Roman" w:hAnsi="Times New Roman" w:hint="eastAsia"/>
          <w:color w:val="000000"/>
          <w:sz w:val="24"/>
          <w:szCs w:val="24"/>
        </w:rPr>
        <w:t>方式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择机增持</w:t>
      </w:r>
      <w:bookmarkStart w:id="2" w:name="OLE_LINK2"/>
      <w:proofErr w:type="gramEnd"/>
      <w:r>
        <w:rPr>
          <w:rFonts w:ascii="Times New Roman" w:hAnsi="Times New Roman"/>
          <w:color w:val="000000"/>
          <w:sz w:val="24"/>
          <w:szCs w:val="24"/>
        </w:rPr>
        <w:t>公司</w:t>
      </w:r>
      <w:bookmarkEnd w:id="2"/>
      <w:r>
        <w:rPr>
          <w:rFonts w:ascii="Times New Roman" w:hAnsi="Times New Roman"/>
          <w:color w:val="000000"/>
          <w:sz w:val="24"/>
          <w:szCs w:val="24"/>
        </w:rPr>
        <w:t>股份，拟增持股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份金额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不低于人民币</w:t>
      </w:r>
      <w:r>
        <w:rPr>
          <w:rFonts w:ascii="Times New Roman" w:hAnsi="Times New Roman" w:hint="eastAsia"/>
          <w:color w:val="000000"/>
          <w:sz w:val="24"/>
          <w:szCs w:val="24"/>
        </w:rPr>
        <w:t>1.5</w:t>
      </w:r>
      <w:r>
        <w:rPr>
          <w:rFonts w:ascii="Times New Roman" w:hAnsi="Times New Roman" w:hint="eastAsia"/>
          <w:color w:val="000000"/>
          <w:sz w:val="24"/>
          <w:szCs w:val="24"/>
        </w:rPr>
        <w:t>亿</w:t>
      </w:r>
      <w:r>
        <w:rPr>
          <w:rFonts w:ascii="Times New Roman" w:hAnsi="Times New Roman"/>
          <w:color w:val="000000"/>
          <w:sz w:val="24"/>
          <w:szCs w:val="24"/>
        </w:rPr>
        <w:t>元且不超过人民币</w:t>
      </w:r>
      <w:r>
        <w:rPr>
          <w:rFonts w:ascii="Times New Roman" w:hAnsi="Times New Roman" w:hint="eastAsia"/>
          <w:color w:val="000000"/>
          <w:sz w:val="24"/>
          <w:szCs w:val="24"/>
        </w:rPr>
        <w:t>3</w:t>
      </w:r>
      <w:r>
        <w:rPr>
          <w:rFonts w:ascii="Times New Roman" w:hAnsi="Times New Roman" w:hint="eastAsia"/>
          <w:color w:val="000000"/>
          <w:sz w:val="24"/>
          <w:szCs w:val="24"/>
        </w:rPr>
        <w:t>亿</w:t>
      </w:r>
      <w:r>
        <w:rPr>
          <w:rFonts w:ascii="Times New Roman" w:hAnsi="Times New Roman"/>
          <w:color w:val="000000"/>
          <w:sz w:val="24"/>
          <w:szCs w:val="24"/>
        </w:rPr>
        <w:t>元</w:t>
      </w:r>
      <w:r>
        <w:rPr>
          <w:rFonts w:ascii="Times New Roman" w:hAnsi="Times New Roman"/>
          <w:color w:val="000000"/>
          <w:sz w:val="24"/>
          <w:szCs w:val="24"/>
        </w:rPr>
        <w:t>。后续增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持计划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不设价格区间</w:t>
      </w:r>
      <w:r>
        <w:rPr>
          <w:rFonts w:ascii="Times New Roman" w:hAnsi="Times New Roman" w:hint="eastAsia"/>
          <w:color w:val="000000"/>
          <w:sz w:val="24"/>
          <w:szCs w:val="24"/>
        </w:rPr>
        <w:t>，</w:t>
      </w:r>
      <w:r>
        <w:rPr>
          <w:rFonts w:ascii="Times New Roman" w:hAnsi="Times New Roman"/>
          <w:color w:val="000000"/>
          <w:sz w:val="24"/>
          <w:szCs w:val="24"/>
        </w:rPr>
        <w:t>将根据公司股票价格波动情况</w:t>
      </w:r>
      <w:r>
        <w:rPr>
          <w:rFonts w:ascii="Times New Roman" w:hAnsi="Times New Roman"/>
          <w:color w:val="000000"/>
          <w:sz w:val="24"/>
          <w:szCs w:val="24"/>
        </w:rPr>
        <w:t>及资本市场整体趋势实施增持计划。</w:t>
      </w:r>
    </w:p>
    <w:p w14:paraId="48A74D11" w14:textId="2ECAC864" w:rsidR="00341DDC" w:rsidRPr="00155534" w:rsidRDefault="0066279F">
      <w:pPr>
        <w:numPr>
          <w:ilvl w:val="0"/>
          <w:numId w:val="1"/>
        </w:numPr>
        <w:adjustRightInd w:val="0"/>
        <w:snapToGrid w:val="0"/>
        <w:spacing w:line="520" w:lineRule="atLeast"/>
        <w:ind w:left="840"/>
        <w:rPr>
          <w:rFonts w:ascii="Times New Roman" w:eastAsia="黑体" w:hAnsi="Times New Roman"/>
          <w:b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增</w:t>
      </w:r>
      <w:proofErr w:type="gramStart"/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持计划</w:t>
      </w:r>
      <w:proofErr w:type="gramEnd"/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进展情况：截至</w:t>
      </w:r>
      <w:r w:rsidRPr="00A303F1">
        <w:rPr>
          <w:rFonts w:ascii="Times New Roman" w:hAnsi="Times New Roman"/>
          <w:bCs/>
          <w:color w:val="000000"/>
          <w:kern w:val="0"/>
          <w:sz w:val="24"/>
          <w:szCs w:val="24"/>
        </w:rPr>
        <w:t>2024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年</w:t>
      </w:r>
      <w:r w:rsidRPr="00A303F1">
        <w:rPr>
          <w:rFonts w:ascii="Times New Roman" w:hAnsi="Times New Roman"/>
          <w:bCs/>
          <w:color w:val="000000"/>
          <w:kern w:val="0"/>
          <w:sz w:val="24"/>
          <w:szCs w:val="24"/>
        </w:rPr>
        <w:t>9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月</w:t>
      </w:r>
      <w:r w:rsidRPr="00A303F1">
        <w:rPr>
          <w:rFonts w:ascii="Times New Roman" w:hAnsi="Times New Roman"/>
          <w:bCs/>
          <w:color w:val="000000"/>
          <w:kern w:val="0"/>
          <w:sz w:val="24"/>
          <w:szCs w:val="24"/>
        </w:rPr>
        <w:t>4</w:t>
      </w:r>
      <w:r w:rsidRPr="00155534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日</w:t>
      </w:r>
      <w:r w:rsidRPr="00155534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，</w:t>
      </w:r>
      <w:r w:rsidRPr="00155534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安图实业</w:t>
      </w:r>
      <w:r w:rsidRPr="00155534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已通过上海证券交易所系统以集中竞价方式累计增持公司股份</w:t>
      </w:r>
      <w:r w:rsidR="00155534" w:rsidRPr="00155534">
        <w:rPr>
          <w:rFonts w:ascii="Times New Roman" w:hAnsi="Times New Roman" w:hint="eastAsia"/>
          <w:color w:val="000000"/>
          <w:kern w:val="0"/>
          <w:sz w:val="24"/>
          <w:szCs w:val="24"/>
        </w:rPr>
        <w:t>4,678,800</w:t>
      </w:r>
      <w:r w:rsidRPr="00155534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股，占公司总股本比例约为</w:t>
      </w:r>
      <w:r w:rsidR="00565612" w:rsidRPr="00565612">
        <w:rPr>
          <w:rFonts w:ascii="Times New Roman" w:hAnsi="Times New Roman"/>
          <w:bCs/>
          <w:color w:val="000000"/>
          <w:kern w:val="0"/>
          <w:sz w:val="24"/>
          <w:szCs w:val="24"/>
        </w:rPr>
        <w:t>0</w:t>
      </w:r>
      <w:r w:rsidR="00155534" w:rsidRPr="00565612">
        <w:rPr>
          <w:rFonts w:ascii="Times New Roman" w:hAnsi="Times New Roman"/>
          <w:bCs/>
          <w:color w:val="000000"/>
          <w:kern w:val="0"/>
          <w:sz w:val="24"/>
          <w:szCs w:val="24"/>
        </w:rPr>
        <w:t>.</w:t>
      </w:r>
      <w:r w:rsidR="00565612" w:rsidRPr="00565612">
        <w:rPr>
          <w:rFonts w:ascii="Times New Roman" w:hAnsi="Times New Roman"/>
          <w:bCs/>
          <w:color w:val="000000"/>
          <w:kern w:val="0"/>
          <w:sz w:val="24"/>
          <w:szCs w:val="24"/>
        </w:rPr>
        <w:t>81</w:t>
      </w:r>
      <w:r w:rsidRPr="00155534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%</w:t>
      </w:r>
      <w:r w:rsidRPr="00155534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，累计增持股份的金额为</w:t>
      </w:r>
      <w:r w:rsidR="00155534" w:rsidRPr="00155534">
        <w:rPr>
          <w:rFonts w:ascii="Times New Roman" w:hAnsi="Times New Roman" w:hint="eastAsia"/>
          <w:color w:val="000000"/>
          <w:kern w:val="0"/>
          <w:sz w:val="24"/>
          <w:szCs w:val="24"/>
        </w:rPr>
        <w:t>185,096,045.</w:t>
      </w:r>
      <w:r w:rsidR="00565612">
        <w:rPr>
          <w:rFonts w:ascii="Times New Roman" w:hAnsi="Times New Roman" w:hint="eastAsia"/>
          <w:color w:val="000000"/>
          <w:kern w:val="0"/>
          <w:sz w:val="24"/>
          <w:szCs w:val="24"/>
        </w:rPr>
        <w:t>77</w:t>
      </w:r>
      <w:r w:rsidRPr="00155534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元。本次增</w:t>
      </w:r>
      <w:proofErr w:type="gramStart"/>
      <w:r w:rsidRPr="00155534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持计划</w:t>
      </w:r>
      <w:proofErr w:type="gramEnd"/>
      <w:r w:rsidRPr="00155534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尚未实施完毕。</w:t>
      </w:r>
    </w:p>
    <w:p w14:paraId="4D8AE17D" w14:textId="77777777" w:rsidR="00341DDC" w:rsidRDefault="0066279F">
      <w:pPr>
        <w:numPr>
          <w:ilvl w:val="0"/>
          <w:numId w:val="1"/>
        </w:numPr>
        <w:adjustRightInd w:val="0"/>
        <w:snapToGrid w:val="0"/>
        <w:spacing w:line="520" w:lineRule="atLeast"/>
        <w:ind w:left="840"/>
        <w:rPr>
          <w:rFonts w:ascii="Times New Roman" w:eastAsia="黑体" w:hAnsi="Times New Roman"/>
          <w:b/>
          <w:color w:val="000000"/>
          <w:kern w:val="0"/>
          <w:sz w:val="32"/>
          <w:szCs w:val="32"/>
        </w:rPr>
      </w:pPr>
      <w:r>
        <w:rPr>
          <w:rFonts w:ascii="Times New Roman" w:hAnsi="Times New Roman"/>
          <w:color w:val="000000"/>
          <w:sz w:val="24"/>
          <w:szCs w:val="24"/>
        </w:rPr>
        <w:t>相关风险提示：后续股份增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持计划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实施可能存在因证券市场情况发</w:t>
      </w:r>
      <w:r>
        <w:rPr>
          <w:rFonts w:ascii="Times New Roman" w:hAnsi="Times New Roman" w:hint="eastAsia"/>
          <w:color w:val="000000"/>
          <w:sz w:val="24"/>
          <w:szCs w:val="24"/>
        </w:rPr>
        <w:t>生变</w:t>
      </w:r>
      <w:r>
        <w:rPr>
          <w:rFonts w:ascii="Times New Roman" w:hAnsi="Times New Roman"/>
          <w:color w:val="000000"/>
          <w:sz w:val="24"/>
          <w:szCs w:val="24"/>
        </w:rPr>
        <w:t>化等因素，导致增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持计划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延迟实施或无法实施的风险。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F221755" w14:textId="77777777" w:rsidR="00341DDC" w:rsidRDefault="0066279F" w:rsidP="001F4DFE">
      <w:pPr>
        <w:autoSpaceDE w:val="0"/>
        <w:autoSpaceDN w:val="0"/>
        <w:adjustRightInd w:val="0"/>
        <w:snapToGrid w:val="0"/>
        <w:spacing w:beforeLines="50" w:before="156" w:line="520" w:lineRule="atLeast"/>
        <w:ind w:firstLineChars="200" w:firstLine="482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一、增</w:t>
      </w:r>
      <w:proofErr w:type="gramStart"/>
      <w:r>
        <w:rPr>
          <w:rFonts w:ascii="Times New Roman" w:hAnsi="Times New Roman"/>
          <w:b/>
          <w:sz w:val="24"/>
          <w:szCs w:val="24"/>
        </w:rPr>
        <w:t>持</w:t>
      </w:r>
      <w:r>
        <w:rPr>
          <w:rFonts w:ascii="Times New Roman" w:hAnsi="Times New Roman" w:hint="eastAsia"/>
          <w:b/>
          <w:sz w:val="24"/>
          <w:szCs w:val="24"/>
        </w:rPr>
        <w:t>主体</w:t>
      </w:r>
      <w:proofErr w:type="gramEnd"/>
      <w:r>
        <w:rPr>
          <w:rFonts w:ascii="Times New Roman" w:hAnsi="Times New Roman" w:hint="eastAsia"/>
          <w:b/>
          <w:sz w:val="24"/>
          <w:szCs w:val="24"/>
        </w:rPr>
        <w:t>的基本</w:t>
      </w:r>
      <w:r>
        <w:rPr>
          <w:rFonts w:ascii="Times New Roman" w:hAnsi="Times New Roman"/>
          <w:b/>
          <w:sz w:val="24"/>
          <w:szCs w:val="24"/>
        </w:rPr>
        <w:t>情况</w:t>
      </w:r>
    </w:p>
    <w:p w14:paraId="7A6A3096" w14:textId="77777777" w:rsidR="00341DDC" w:rsidRDefault="0066279F">
      <w:pPr>
        <w:autoSpaceDE w:val="0"/>
        <w:autoSpaceDN w:val="0"/>
        <w:adjustRightInd w:val="0"/>
        <w:snapToGrid w:val="0"/>
        <w:spacing w:line="520" w:lineRule="atLeast"/>
        <w:ind w:firstLineChars="200" w:firstLine="480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（一）</w:t>
      </w:r>
      <w:r>
        <w:rPr>
          <w:rFonts w:ascii="Times New Roman" w:hAnsi="Times New Roman"/>
          <w:color w:val="000000"/>
          <w:kern w:val="0"/>
          <w:sz w:val="24"/>
          <w:szCs w:val="24"/>
        </w:rPr>
        <w:t>增</w:t>
      </w: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持主体</w:t>
      </w:r>
      <w:proofErr w:type="gramEnd"/>
      <w:r>
        <w:rPr>
          <w:rFonts w:ascii="Times New Roman" w:hAnsi="Times New Roman" w:hint="eastAsia"/>
          <w:color w:val="000000"/>
          <w:kern w:val="0"/>
          <w:sz w:val="24"/>
          <w:szCs w:val="24"/>
        </w:rPr>
        <w:t>名称</w:t>
      </w:r>
      <w:r>
        <w:rPr>
          <w:rFonts w:ascii="Times New Roman" w:hAnsi="Times New Roman"/>
          <w:color w:val="000000"/>
          <w:kern w:val="0"/>
          <w:sz w:val="24"/>
          <w:szCs w:val="24"/>
        </w:rPr>
        <w:t>：</w:t>
      </w:r>
      <w:r>
        <w:rPr>
          <w:rFonts w:ascii="Times New Roman" w:hAnsi="Times New Roman"/>
          <w:color w:val="000000"/>
          <w:kern w:val="0"/>
          <w:sz w:val="24"/>
          <w:szCs w:val="24"/>
        </w:rPr>
        <w:t>公司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控股股东安图实业</w:t>
      </w:r>
    </w:p>
    <w:p w14:paraId="1FD462A9" w14:textId="77777777" w:rsidR="00341DDC" w:rsidRDefault="0066279F">
      <w:pPr>
        <w:autoSpaceDE w:val="0"/>
        <w:autoSpaceDN w:val="0"/>
        <w:adjustRightInd w:val="0"/>
        <w:snapToGrid w:val="0"/>
        <w:spacing w:line="520" w:lineRule="atLeast"/>
        <w:ind w:firstLineChars="200" w:firstLine="480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hint="eastAsia"/>
          <w:color w:val="000000"/>
          <w:kern w:val="0"/>
          <w:sz w:val="24"/>
          <w:szCs w:val="24"/>
        </w:rPr>
        <w:t>（二）增</w:t>
      </w:r>
      <w:proofErr w:type="gramStart"/>
      <w:r>
        <w:rPr>
          <w:rFonts w:ascii="Times New Roman" w:hAnsi="Times New Roman" w:hint="eastAsia"/>
          <w:color w:val="000000"/>
          <w:kern w:val="0"/>
          <w:sz w:val="24"/>
          <w:szCs w:val="24"/>
        </w:rPr>
        <w:t>持主体</w:t>
      </w:r>
      <w:proofErr w:type="gramEnd"/>
      <w:r>
        <w:rPr>
          <w:rFonts w:ascii="Times New Roman" w:hAnsi="Times New Roman" w:hint="eastAsia"/>
          <w:color w:val="000000"/>
          <w:kern w:val="0"/>
          <w:sz w:val="24"/>
          <w:szCs w:val="24"/>
        </w:rPr>
        <w:t>已持有公司股份</w:t>
      </w:r>
      <w:bookmarkStart w:id="3" w:name="_GoBack"/>
      <w:bookmarkEnd w:id="3"/>
      <w:r>
        <w:rPr>
          <w:rFonts w:ascii="Times New Roman" w:hAnsi="Times New Roman" w:hint="eastAsia"/>
          <w:color w:val="000000"/>
          <w:kern w:val="0"/>
          <w:sz w:val="24"/>
          <w:szCs w:val="24"/>
        </w:rPr>
        <w:t>数量及持股比例</w:t>
      </w:r>
    </w:p>
    <w:p w14:paraId="0530A243" w14:textId="49EE627B" w:rsidR="00341DDC" w:rsidRDefault="0066279F">
      <w:pPr>
        <w:autoSpaceDE w:val="0"/>
        <w:autoSpaceDN w:val="0"/>
        <w:adjustRightInd w:val="0"/>
        <w:snapToGrid w:val="0"/>
        <w:spacing w:line="520" w:lineRule="atLeast"/>
        <w:ind w:leftChars="228" w:left="479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hint="eastAsia"/>
          <w:color w:val="000000"/>
          <w:kern w:val="0"/>
          <w:sz w:val="24"/>
          <w:szCs w:val="24"/>
        </w:rPr>
        <w:t>本次</w:t>
      </w:r>
      <w:r>
        <w:rPr>
          <w:rFonts w:ascii="Times New Roman" w:hAnsi="Times New Roman"/>
          <w:color w:val="000000"/>
          <w:kern w:val="0"/>
          <w:sz w:val="24"/>
          <w:szCs w:val="24"/>
        </w:rPr>
        <w:t>增持前，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安图实业</w:t>
      </w:r>
      <w:r>
        <w:rPr>
          <w:rFonts w:ascii="Times New Roman" w:hAnsi="Times New Roman"/>
          <w:color w:val="000000"/>
          <w:kern w:val="0"/>
          <w:sz w:val="24"/>
          <w:szCs w:val="24"/>
        </w:rPr>
        <w:t>持有公司股份</w:t>
      </w:r>
      <w:r>
        <w:rPr>
          <w:rFonts w:ascii="Times New Roman" w:hAnsi="Times New Roman"/>
          <w:color w:val="000000"/>
          <w:kern w:val="0"/>
          <w:sz w:val="24"/>
          <w:szCs w:val="24"/>
        </w:rPr>
        <w:t>323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,</w:t>
      </w:r>
      <w:r>
        <w:rPr>
          <w:rFonts w:ascii="Times New Roman" w:hAnsi="Times New Roman"/>
          <w:color w:val="000000"/>
          <w:kern w:val="0"/>
          <w:sz w:val="24"/>
          <w:szCs w:val="24"/>
        </w:rPr>
        <w:t>904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,</w:t>
      </w:r>
      <w:r>
        <w:rPr>
          <w:rFonts w:ascii="Times New Roman" w:hAnsi="Times New Roman"/>
          <w:color w:val="000000"/>
          <w:kern w:val="0"/>
          <w:sz w:val="24"/>
          <w:szCs w:val="24"/>
        </w:rPr>
        <w:t>473</w:t>
      </w:r>
      <w:r>
        <w:rPr>
          <w:rFonts w:ascii="Times New Roman" w:hAnsi="Times New Roman"/>
          <w:color w:val="000000"/>
          <w:kern w:val="0"/>
          <w:sz w:val="24"/>
          <w:szCs w:val="24"/>
        </w:rPr>
        <w:t>股，占公司总股本的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55.75</w:t>
      </w:r>
      <w:r>
        <w:rPr>
          <w:rFonts w:ascii="Times New Roman" w:hAnsi="Times New Roman"/>
          <w:color w:val="000000"/>
          <w:kern w:val="0"/>
          <w:sz w:val="24"/>
          <w:szCs w:val="24"/>
        </w:rPr>
        <w:t>%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。（三）</w:t>
      </w:r>
      <w:r>
        <w:rPr>
          <w:rFonts w:ascii="Times New Roman" w:hAnsi="Times New Roman"/>
          <w:color w:val="000000"/>
          <w:kern w:val="0"/>
          <w:sz w:val="24"/>
          <w:szCs w:val="24"/>
        </w:rPr>
        <w:t>本次增</w:t>
      </w: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持主体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>在</w:t>
      </w:r>
      <w:r w:rsidR="00565612" w:rsidRPr="00565612">
        <w:rPr>
          <w:rFonts w:ascii="Times New Roman" w:hAnsi="Times New Roman" w:hint="eastAsia"/>
          <w:color w:val="000000"/>
          <w:kern w:val="0"/>
          <w:sz w:val="24"/>
          <w:szCs w:val="24"/>
        </w:rPr>
        <w:t>本次增</w:t>
      </w:r>
      <w:proofErr w:type="gramStart"/>
      <w:r w:rsidR="00565612" w:rsidRPr="00565612">
        <w:rPr>
          <w:rFonts w:ascii="Times New Roman" w:hAnsi="Times New Roman" w:hint="eastAsia"/>
          <w:color w:val="000000"/>
          <w:kern w:val="0"/>
          <w:sz w:val="24"/>
          <w:szCs w:val="24"/>
        </w:rPr>
        <w:t>持计划</w:t>
      </w:r>
      <w:proofErr w:type="gramEnd"/>
      <w:r w:rsidR="00565612" w:rsidRPr="00565612">
        <w:rPr>
          <w:rFonts w:ascii="Times New Roman" w:hAnsi="Times New Roman" w:hint="eastAsia"/>
          <w:color w:val="000000"/>
          <w:kern w:val="0"/>
          <w:sz w:val="24"/>
          <w:szCs w:val="24"/>
        </w:rPr>
        <w:t>公告日</w:t>
      </w:r>
      <w:r w:rsidR="007D5C7A" w:rsidRPr="007D5C7A">
        <w:rPr>
          <w:rFonts w:ascii="Times New Roman" w:hAnsi="Times New Roman" w:hint="eastAsia"/>
          <w:color w:val="000000"/>
          <w:kern w:val="0"/>
          <w:sz w:val="24"/>
          <w:szCs w:val="24"/>
        </w:rPr>
        <w:t>之前</w:t>
      </w:r>
      <w:r w:rsidR="007D5C7A" w:rsidRPr="007D5C7A">
        <w:rPr>
          <w:rFonts w:ascii="Times New Roman" w:hAnsi="Times New Roman" w:hint="eastAsia"/>
          <w:color w:val="000000"/>
          <w:kern w:val="0"/>
          <w:sz w:val="24"/>
          <w:szCs w:val="24"/>
        </w:rPr>
        <w:t>12</w:t>
      </w:r>
      <w:r w:rsidR="007D5C7A">
        <w:rPr>
          <w:rFonts w:ascii="Times New Roman" w:hAnsi="Times New Roman" w:hint="eastAsia"/>
          <w:color w:val="000000"/>
          <w:kern w:val="0"/>
          <w:sz w:val="24"/>
          <w:szCs w:val="24"/>
        </w:rPr>
        <w:t>个月</w:t>
      </w:r>
      <w:r>
        <w:rPr>
          <w:rFonts w:ascii="Times New Roman" w:hAnsi="Times New Roman"/>
          <w:color w:val="000000"/>
          <w:kern w:val="0"/>
          <w:sz w:val="24"/>
          <w:szCs w:val="24"/>
        </w:rPr>
        <w:t>内未披露过增持计划。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</w:p>
    <w:p w14:paraId="0745DB4B" w14:textId="77777777" w:rsidR="00341DDC" w:rsidRDefault="0066279F" w:rsidP="001F4DFE">
      <w:pPr>
        <w:autoSpaceDE w:val="0"/>
        <w:autoSpaceDN w:val="0"/>
        <w:adjustRightInd w:val="0"/>
        <w:snapToGrid w:val="0"/>
        <w:spacing w:beforeLines="50" w:before="156" w:line="520" w:lineRule="atLeast"/>
        <w:ind w:firstLineChars="200" w:firstLine="482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lastRenderedPageBreak/>
        <w:t>二</w:t>
      </w:r>
      <w:r>
        <w:rPr>
          <w:rFonts w:ascii="宋体" w:hAnsi="宋体" w:cs="宋体" w:hint="eastAsia"/>
          <w:b/>
          <w:sz w:val="24"/>
          <w:szCs w:val="24"/>
        </w:rPr>
        <w:t>、增</w:t>
      </w:r>
      <w:proofErr w:type="gramStart"/>
      <w:r>
        <w:rPr>
          <w:rFonts w:ascii="宋体" w:hAnsi="宋体" w:cs="宋体" w:hint="eastAsia"/>
          <w:b/>
          <w:sz w:val="24"/>
          <w:szCs w:val="24"/>
        </w:rPr>
        <w:t>持计划</w:t>
      </w:r>
      <w:proofErr w:type="gramEnd"/>
      <w:r>
        <w:rPr>
          <w:rFonts w:ascii="宋体" w:hAnsi="宋体" w:cs="宋体" w:hint="eastAsia"/>
          <w:b/>
          <w:sz w:val="24"/>
          <w:szCs w:val="24"/>
        </w:rPr>
        <w:t>的主要内容</w:t>
      </w:r>
    </w:p>
    <w:p w14:paraId="0F50B29C" w14:textId="77777777" w:rsidR="00341DDC" w:rsidRDefault="0066279F">
      <w:pPr>
        <w:autoSpaceDE w:val="0"/>
        <w:autoSpaceDN w:val="0"/>
        <w:adjustRightInd w:val="0"/>
        <w:snapToGrid w:val="0"/>
        <w:spacing w:line="520" w:lineRule="atLeast"/>
        <w:ind w:firstLineChars="200" w:firstLine="480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基于对公司未来发展前景的信心及对公司价值的认可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，</w:t>
      </w:r>
      <w:r>
        <w:rPr>
          <w:rFonts w:ascii="Times New Roman" w:hAnsi="Times New Roman" w:hint="eastAsia"/>
          <w:color w:val="000000"/>
          <w:sz w:val="24"/>
          <w:szCs w:val="24"/>
        </w:rPr>
        <w:t>同时为切实维护广大投资者权益，安图实业拟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使用自有资金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以集中竞价交易方式增持公司无限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售条件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</w:rPr>
        <w:t>流通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A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股股份</w:t>
      </w:r>
      <w:bookmarkStart w:id="4" w:name="OLE_LINK21"/>
      <w:bookmarkStart w:id="5" w:name="OLE_LINK20"/>
      <w:r>
        <w:rPr>
          <w:rFonts w:ascii="宋体" w:hAnsi="宋体" w:cs="宋体" w:hint="eastAsia"/>
          <w:color w:val="000000"/>
          <w:kern w:val="0"/>
          <w:sz w:val="24"/>
          <w:szCs w:val="24"/>
        </w:rPr>
        <w:t>，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拟增持股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份</w:t>
      </w:r>
      <w:r>
        <w:rPr>
          <w:rFonts w:ascii="Times New Roman" w:hAnsi="Times New Roman"/>
          <w:color w:val="000000"/>
          <w:kern w:val="0"/>
          <w:sz w:val="24"/>
          <w:szCs w:val="24"/>
        </w:rPr>
        <w:t>金</w:t>
      </w:r>
      <w:r>
        <w:rPr>
          <w:rFonts w:ascii="Times New Roman" w:hAnsi="Times New Roman"/>
          <w:color w:val="000000"/>
          <w:kern w:val="0"/>
          <w:sz w:val="24"/>
          <w:szCs w:val="24"/>
        </w:rPr>
        <w:t>额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>不低于人民币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1.5</w:t>
      </w:r>
      <w:r>
        <w:rPr>
          <w:rFonts w:ascii="Times New Roman" w:hAnsi="Times New Roman"/>
          <w:color w:val="000000"/>
          <w:kern w:val="0"/>
          <w:sz w:val="24"/>
          <w:szCs w:val="24"/>
        </w:rPr>
        <w:t>亿元</w:t>
      </w:r>
      <w:r>
        <w:rPr>
          <w:rFonts w:ascii="Times New Roman" w:hAnsi="Times New Roman"/>
          <w:color w:val="000000"/>
          <w:kern w:val="0"/>
          <w:sz w:val="24"/>
          <w:szCs w:val="24"/>
        </w:rPr>
        <w:t>且不超过人民币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3</w:t>
      </w:r>
      <w:r>
        <w:rPr>
          <w:rFonts w:ascii="Times New Roman" w:hAnsi="Times New Roman"/>
          <w:color w:val="000000"/>
          <w:kern w:val="0"/>
          <w:sz w:val="24"/>
          <w:szCs w:val="24"/>
        </w:rPr>
        <w:t>亿元</w:t>
      </w:r>
      <w:r>
        <w:rPr>
          <w:rFonts w:ascii="Times New Roman" w:hAnsi="Times New Roman"/>
          <w:color w:val="000000"/>
          <w:kern w:val="0"/>
          <w:sz w:val="24"/>
          <w:szCs w:val="24"/>
        </w:rPr>
        <w:t>。本次增</w:t>
      </w: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持计划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>具体内容请详见公司于</w:t>
      </w:r>
      <w:r>
        <w:rPr>
          <w:rFonts w:ascii="Times New Roman" w:hAnsi="Times New Roman"/>
          <w:color w:val="000000"/>
          <w:kern w:val="0"/>
          <w:sz w:val="24"/>
          <w:szCs w:val="24"/>
        </w:rPr>
        <w:t>202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4</w:t>
      </w:r>
      <w:r>
        <w:rPr>
          <w:rFonts w:ascii="Times New Roman" w:hAnsi="Times New Roman"/>
          <w:color w:val="000000"/>
          <w:kern w:val="0"/>
          <w:sz w:val="24"/>
          <w:szCs w:val="24"/>
        </w:rPr>
        <w:t>年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8</w:t>
      </w:r>
      <w:r>
        <w:rPr>
          <w:rFonts w:ascii="Times New Roman" w:hAnsi="Times New Roman"/>
          <w:color w:val="000000"/>
          <w:kern w:val="0"/>
          <w:sz w:val="24"/>
          <w:szCs w:val="24"/>
        </w:rPr>
        <w:t>月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22</w:t>
      </w:r>
      <w:r>
        <w:rPr>
          <w:rFonts w:ascii="Times New Roman" w:hAnsi="Times New Roman"/>
          <w:color w:val="000000"/>
          <w:kern w:val="0"/>
          <w:sz w:val="24"/>
          <w:szCs w:val="24"/>
        </w:rPr>
        <w:t>日披露的《安图生物关于控股股东增持公司股份暨后续增持计划的公告》（公告编号：</w:t>
      </w:r>
      <w:r>
        <w:rPr>
          <w:rFonts w:ascii="Times New Roman" w:hAnsi="Times New Roman"/>
          <w:color w:val="000000"/>
          <w:kern w:val="0"/>
          <w:sz w:val="24"/>
          <w:szCs w:val="24"/>
        </w:rPr>
        <w:t>202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4</w:t>
      </w:r>
      <w:r>
        <w:rPr>
          <w:rFonts w:ascii="Times New Roman" w:hAnsi="Times New Roman"/>
          <w:color w:val="000000"/>
          <w:kern w:val="0"/>
          <w:sz w:val="24"/>
          <w:szCs w:val="24"/>
        </w:rPr>
        <w:t>-0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61</w:t>
      </w:r>
      <w:r>
        <w:rPr>
          <w:rFonts w:ascii="Times New Roman" w:hAnsi="Times New Roman"/>
          <w:color w:val="000000"/>
          <w:kern w:val="0"/>
          <w:sz w:val="24"/>
          <w:szCs w:val="24"/>
        </w:rPr>
        <w:t>）。</w:t>
      </w:r>
    </w:p>
    <w:p w14:paraId="79C66491" w14:textId="77777777" w:rsidR="00341DDC" w:rsidRDefault="0066279F"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520" w:lineRule="atLeast"/>
        <w:ind w:firstLineChars="200" w:firstLine="482"/>
        <w:rPr>
          <w:rFonts w:ascii="Times New Roman" w:hAnsi="Times New Roman"/>
          <w:b/>
          <w:bCs/>
          <w:color w:val="000000"/>
          <w:kern w:val="0"/>
          <w:sz w:val="24"/>
          <w:szCs w:val="24"/>
        </w:rPr>
      </w:pPr>
      <w:bookmarkStart w:id="6" w:name="OLE_LINK1"/>
      <w:r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</w:rPr>
        <w:t>增</w:t>
      </w:r>
      <w:proofErr w:type="gramStart"/>
      <w:r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</w:rPr>
        <w:t>持计划</w:t>
      </w:r>
      <w:proofErr w:type="gramEnd"/>
      <w:r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</w:rPr>
        <w:t>的实施进展</w:t>
      </w:r>
    </w:p>
    <w:p w14:paraId="472BC03C" w14:textId="24D0B163" w:rsidR="00341DDC" w:rsidRPr="00155534" w:rsidRDefault="0066279F">
      <w:pPr>
        <w:autoSpaceDE w:val="0"/>
        <w:autoSpaceDN w:val="0"/>
        <w:adjustRightInd w:val="0"/>
        <w:snapToGrid w:val="0"/>
        <w:spacing w:line="520" w:lineRule="atLeast"/>
        <w:ind w:firstLineChars="200" w:firstLine="480"/>
        <w:rPr>
          <w:rFonts w:ascii="Times New Roman" w:hAnsi="Times New Roman"/>
          <w:color w:val="000000"/>
          <w:kern w:val="0"/>
          <w:sz w:val="24"/>
          <w:szCs w:val="24"/>
        </w:rPr>
      </w:pPr>
      <w:r w:rsidRPr="00155534">
        <w:rPr>
          <w:rFonts w:ascii="Times New Roman" w:hAnsi="Times New Roman"/>
          <w:color w:val="000000"/>
          <w:kern w:val="0"/>
          <w:sz w:val="24"/>
          <w:szCs w:val="24"/>
        </w:rPr>
        <w:t>截至</w:t>
      </w:r>
      <w:r w:rsidRPr="00155534">
        <w:rPr>
          <w:rFonts w:ascii="Times New Roman" w:hAnsi="Times New Roman" w:hint="eastAsia"/>
          <w:color w:val="000000"/>
          <w:kern w:val="0"/>
          <w:sz w:val="24"/>
          <w:szCs w:val="24"/>
        </w:rPr>
        <w:t>2024</w:t>
      </w:r>
      <w:r w:rsidRPr="00155534">
        <w:rPr>
          <w:rFonts w:ascii="Times New Roman" w:hAnsi="Times New Roman" w:hint="eastAsia"/>
          <w:color w:val="000000"/>
          <w:kern w:val="0"/>
          <w:sz w:val="24"/>
          <w:szCs w:val="24"/>
        </w:rPr>
        <w:t>年</w:t>
      </w:r>
      <w:r w:rsidRPr="00155534">
        <w:rPr>
          <w:rFonts w:ascii="Times New Roman" w:hAnsi="Times New Roman" w:hint="eastAsia"/>
          <w:color w:val="000000"/>
          <w:kern w:val="0"/>
          <w:sz w:val="24"/>
          <w:szCs w:val="24"/>
        </w:rPr>
        <w:t>9</w:t>
      </w:r>
      <w:r w:rsidRPr="00155534">
        <w:rPr>
          <w:rFonts w:ascii="Times New Roman" w:hAnsi="Times New Roman" w:hint="eastAsia"/>
          <w:color w:val="000000"/>
          <w:kern w:val="0"/>
          <w:sz w:val="24"/>
          <w:szCs w:val="24"/>
        </w:rPr>
        <w:t>月</w:t>
      </w:r>
      <w:r w:rsidRPr="00155534">
        <w:rPr>
          <w:rFonts w:ascii="Times New Roman" w:hAnsi="Times New Roman" w:hint="eastAsia"/>
          <w:color w:val="000000"/>
          <w:kern w:val="0"/>
          <w:sz w:val="24"/>
          <w:szCs w:val="24"/>
        </w:rPr>
        <w:t>4</w:t>
      </w:r>
      <w:r w:rsidRPr="00155534">
        <w:rPr>
          <w:rFonts w:ascii="Times New Roman" w:hAnsi="Times New Roman" w:hint="eastAsia"/>
          <w:color w:val="000000"/>
          <w:kern w:val="0"/>
          <w:sz w:val="24"/>
          <w:szCs w:val="24"/>
        </w:rPr>
        <w:t>日</w:t>
      </w:r>
      <w:r w:rsidRPr="00155534">
        <w:rPr>
          <w:rFonts w:ascii="Times New Roman" w:hAnsi="Times New Roman"/>
          <w:color w:val="000000"/>
          <w:kern w:val="0"/>
          <w:sz w:val="24"/>
          <w:szCs w:val="24"/>
        </w:rPr>
        <w:t>，</w:t>
      </w:r>
      <w:r w:rsidRPr="00155534">
        <w:rPr>
          <w:rFonts w:ascii="Times New Roman" w:hAnsi="Times New Roman" w:hint="eastAsia"/>
          <w:color w:val="000000"/>
          <w:kern w:val="0"/>
          <w:sz w:val="24"/>
          <w:szCs w:val="24"/>
        </w:rPr>
        <w:t>安图实业</w:t>
      </w:r>
      <w:r w:rsidRPr="00155534">
        <w:rPr>
          <w:rFonts w:ascii="Times New Roman" w:hAnsi="Times New Roman"/>
          <w:color w:val="000000"/>
          <w:kern w:val="0"/>
          <w:sz w:val="24"/>
          <w:szCs w:val="24"/>
        </w:rPr>
        <w:t>已通过上海证券交易所系统以集中竞价方式累计增持公司股份</w:t>
      </w:r>
      <w:r w:rsidR="00155534" w:rsidRPr="00155534">
        <w:rPr>
          <w:rFonts w:ascii="Times New Roman" w:hAnsi="Times New Roman" w:hint="eastAsia"/>
          <w:color w:val="000000"/>
          <w:kern w:val="0"/>
          <w:sz w:val="24"/>
          <w:szCs w:val="24"/>
        </w:rPr>
        <w:t>4,678,800</w:t>
      </w:r>
      <w:r w:rsidRPr="00155534">
        <w:rPr>
          <w:rFonts w:ascii="Times New Roman" w:hAnsi="Times New Roman"/>
          <w:color w:val="000000"/>
          <w:kern w:val="0"/>
          <w:sz w:val="24"/>
          <w:szCs w:val="24"/>
        </w:rPr>
        <w:t>股，占公司总股本比例约为</w:t>
      </w:r>
      <w:r w:rsidR="00565612">
        <w:rPr>
          <w:rFonts w:ascii="Times New Roman" w:hAnsi="Times New Roman" w:hint="eastAsia"/>
          <w:color w:val="000000"/>
          <w:kern w:val="0"/>
          <w:sz w:val="24"/>
          <w:szCs w:val="24"/>
        </w:rPr>
        <w:t>0</w:t>
      </w:r>
      <w:r w:rsidR="0057780D" w:rsidRPr="00155534">
        <w:rPr>
          <w:rFonts w:ascii="Times New Roman" w:hAnsi="Times New Roman" w:hint="eastAsia"/>
          <w:color w:val="000000"/>
          <w:kern w:val="0"/>
          <w:sz w:val="24"/>
          <w:szCs w:val="24"/>
        </w:rPr>
        <w:t>.</w:t>
      </w:r>
      <w:r w:rsidR="00565612">
        <w:rPr>
          <w:rFonts w:ascii="Times New Roman" w:hAnsi="Times New Roman" w:hint="eastAsia"/>
          <w:color w:val="000000"/>
          <w:kern w:val="0"/>
          <w:sz w:val="24"/>
          <w:szCs w:val="24"/>
        </w:rPr>
        <w:t>81</w:t>
      </w:r>
      <w:r w:rsidRPr="00155534">
        <w:rPr>
          <w:rFonts w:ascii="Times New Roman" w:hAnsi="Times New Roman"/>
          <w:color w:val="000000"/>
          <w:kern w:val="0"/>
          <w:sz w:val="24"/>
          <w:szCs w:val="24"/>
        </w:rPr>
        <w:t>%</w:t>
      </w:r>
      <w:r w:rsidRPr="00155534">
        <w:rPr>
          <w:rFonts w:ascii="Times New Roman" w:hAnsi="Times New Roman"/>
          <w:color w:val="000000"/>
          <w:kern w:val="0"/>
          <w:sz w:val="24"/>
          <w:szCs w:val="24"/>
        </w:rPr>
        <w:t>，累计增持股份的金额为</w:t>
      </w:r>
      <w:r w:rsidR="001F4DFE" w:rsidRPr="00155534">
        <w:rPr>
          <w:rFonts w:ascii="Times New Roman" w:hAnsi="Times New Roman" w:hint="eastAsia"/>
          <w:color w:val="000000"/>
          <w:kern w:val="0"/>
          <w:sz w:val="24"/>
          <w:szCs w:val="24"/>
        </w:rPr>
        <w:t>185,096,045</w:t>
      </w:r>
      <w:r w:rsidR="00A303F1">
        <w:rPr>
          <w:rFonts w:ascii="Times New Roman" w:hAnsi="Times New Roman" w:hint="eastAsia"/>
          <w:color w:val="000000"/>
          <w:kern w:val="0"/>
          <w:sz w:val="24"/>
          <w:szCs w:val="24"/>
        </w:rPr>
        <w:t>.</w:t>
      </w:r>
      <w:r w:rsidR="00565612">
        <w:rPr>
          <w:rFonts w:ascii="Times New Roman" w:hAnsi="Times New Roman" w:hint="eastAsia"/>
          <w:color w:val="000000"/>
          <w:kern w:val="0"/>
          <w:sz w:val="24"/>
          <w:szCs w:val="24"/>
        </w:rPr>
        <w:t>77</w:t>
      </w:r>
      <w:r w:rsidRPr="00155534">
        <w:rPr>
          <w:rFonts w:ascii="Times New Roman" w:hAnsi="Times New Roman"/>
          <w:color w:val="000000"/>
          <w:kern w:val="0"/>
          <w:sz w:val="24"/>
          <w:szCs w:val="24"/>
        </w:rPr>
        <w:t>元。本次增</w:t>
      </w:r>
      <w:proofErr w:type="gramStart"/>
      <w:r w:rsidRPr="00155534">
        <w:rPr>
          <w:rFonts w:ascii="Times New Roman" w:hAnsi="Times New Roman"/>
          <w:color w:val="000000"/>
          <w:kern w:val="0"/>
          <w:sz w:val="24"/>
          <w:szCs w:val="24"/>
        </w:rPr>
        <w:t>持计划</w:t>
      </w:r>
      <w:proofErr w:type="gramEnd"/>
      <w:r w:rsidRPr="00155534">
        <w:rPr>
          <w:rFonts w:ascii="Times New Roman" w:hAnsi="Times New Roman"/>
          <w:color w:val="000000"/>
          <w:kern w:val="0"/>
          <w:sz w:val="24"/>
          <w:szCs w:val="24"/>
        </w:rPr>
        <w:t>尚未实施完毕。</w:t>
      </w:r>
    </w:p>
    <w:p w14:paraId="0637236B" w14:textId="77777777" w:rsidR="00341DDC" w:rsidRPr="00155534" w:rsidRDefault="0066279F">
      <w:pPr>
        <w:autoSpaceDE w:val="0"/>
        <w:autoSpaceDN w:val="0"/>
        <w:adjustRightInd w:val="0"/>
        <w:snapToGrid w:val="0"/>
        <w:spacing w:line="520" w:lineRule="atLeast"/>
        <w:ind w:firstLineChars="200" w:firstLine="480"/>
        <w:rPr>
          <w:rFonts w:ascii="Times New Roman" w:hAnsi="Times New Roman"/>
          <w:color w:val="000000"/>
          <w:kern w:val="0"/>
          <w:sz w:val="24"/>
          <w:szCs w:val="24"/>
        </w:rPr>
      </w:pPr>
      <w:r w:rsidRPr="00155534">
        <w:rPr>
          <w:rFonts w:ascii="Times New Roman" w:hAnsi="Times New Roman" w:hint="eastAsia"/>
          <w:color w:val="000000"/>
          <w:kern w:val="0"/>
          <w:sz w:val="24"/>
          <w:szCs w:val="24"/>
        </w:rPr>
        <w:t>安图实业</w:t>
      </w:r>
      <w:r w:rsidRPr="00155534">
        <w:rPr>
          <w:rFonts w:ascii="Times New Roman" w:hAnsi="Times New Roman"/>
          <w:color w:val="000000"/>
          <w:kern w:val="0"/>
          <w:sz w:val="24"/>
          <w:szCs w:val="24"/>
        </w:rPr>
        <w:t>后续将按照增</w:t>
      </w:r>
      <w:proofErr w:type="gramStart"/>
      <w:r w:rsidRPr="00155534">
        <w:rPr>
          <w:rFonts w:ascii="Times New Roman" w:hAnsi="Times New Roman"/>
          <w:color w:val="000000"/>
          <w:kern w:val="0"/>
          <w:sz w:val="24"/>
          <w:szCs w:val="24"/>
        </w:rPr>
        <w:t>持计划</w:t>
      </w:r>
      <w:proofErr w:type="gramEnd"/>
      <w:r w:rsidRPr="00155534">
        <w:rPr>
          <w:rFonts w:ascii="Times New Roman" w:hAnsi="Times New Roman"/>
          <w:color w:val="000000"/>
          <w:kern w:val="0"/>
          <w:sz w:val="24"/>
          <w:szCs w:val="24"/>
        </w:rPr>
        <w:t>继续</w:t>
      </w:r>
      <w:proofErr w:type="gramStart"/>
      <w:r w:rsidRPr="00155534">
        <w:rPr>
          <w:rFonts w:ascii="Times New Roman" w:hAnsi="Times New Roman"/>
          <w:color w:val="000000"/>
          <w:kern w:val="0"/>
          <w:sz w:val="24"/>
          <w:szCs w:val="24"/>
        </w:rPr>
        <w:t>择机增持</w:t>
      </w:r>
      <w:proofErr w:type="gramEnd"/>
      <w:r w:rsidRPr="00155534">
        <w:rPr>
          <w:rFonts w:ascii="Times New Roman" w:hAnsi="Times New Roman"/>
          <w:color w:val="000000"/>
          <w:kern w:val="0"/>
          <w:sz w:val="24"/>
          <w:szCs w:val="24"/>
        </w:rPr>
        <w:t>公司股份。</w:t>
      </w:r>
    </w:p>
    <w:bookmarkEnd w:id="4"/>
    <w:bookmarkEnd w:id="5"/>
    <w:bookmarkEnd w:id="6"/>
    <w:p w14:paraId="1AF9B111" w14:textId="77777777" w:rsidR="00341DDC" w:rsidRDefault="0066279F" w:rsidP="001F4DFE">
      <w:pPr>
        <w:autoSpaceDE w:val="0"/>
        <w:autoSpaceDN w:val="0"/>
        <w:adjustRightInd w:val="0"/>
        <w:snapToGrid w:val="0"/>
        <w:spacing w:beforeLines="50" w:before="156" w:line="520" w:lineRule="atLeast"/>
        <w:ind w:firstLineChars="200" w:firstLine="482"/>
        <w:outlineLvl w:val="0"/>
        <w:rPr>
          <w:rFonts w:ascii="Times New Roman" w:hAnsi="Times New Roman"/>
          <w:b/>
          <w:sz w:val="24"/>
          <w:szCs w:val="24"/>
        </w:rPr>
      </w:pPr>
      <w:r w:rsidRPr="00155534">
        <w:rPr>
          <w:rFonts w:ascii="Times New Roman" w:hAnsi="Times New Roman"/>
          <w:b/>
          <w:sz w:val="24"/>
          <w:szCs w:val="24"/>
        </w:rPr>
        <w:t>四</w:t>
      </w:r>
      <w:r w:rsidRPr="00155534">
        <w:rPr>
          <w:rFonts w:ascii="Times New Roman" w:hAnsi="Times New Roman"/>
          <w:b/>
          <w:sz w:val="24"/>
          <w:szCs w:val="24"/>
        </w:rPr>
        <w:t>、增</w:t>
      </w:r>
      <w:proofErr w:type="gramStart"/>
      <w:r w:rsidRPr="00155534">
        <w:rPr>
          <w:rFonts w:ascii="Times New Roman" w:hAnsi="Times New Roman"/>
          <w:b/>
          <w:sz w:val="24"/>
          <w:szCs w:val="24"/>
        </w:rPr>
        <w:t>持计划</w:t>
      </w:r>
      <w:proofErr w:type="gramEnd"/>
      <w:r w:rsidRPr="00155534">
        <w:rPr>
          <w:rFonts w:ascii="Times New Roman" w:hAnsi="Times New Roman"/>
          <w:b/>
          <w:sz w:val="24"/>
          <w:szCs w:val="24"/>
        </w:rPr>
        <w:t>实施的不确定性风险</w:t>
      </w:r>
    </w:p>
    <w:p w14:paraId="048C04DB" w14:textId="77777777" w:rsidR="00341DDC" w:rsidRDefault="0066279F">
      <w:pPr>
        <w:autoSpaceDE w:val="0"/>
        <w:autoSpaceDN w:val="0"/>
        <w:adjustRightInd w:val="0"/>
        <w:snapToGrid w:val="0"/>
        <w:spacing w:line="520" w:lineRule="atLeast"/>
        <w:ind w:firstLineChars="200" w:firstLine="480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后续股份增</w:t>
      </w: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持计划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>实施可能存在因证券市场情况发生变化等因素，导致增</w:t>
      </w: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持计划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>延迟实施或无法实施的风险。如增</w:t>
      </w: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持计划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>实施过程中出现相关风险情形，公司将及时履行信息披露义务。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</w:p>
    <w:p w14:paraId="404359DB" w14:textId="77777777" w:rsidR="00341DDC" w:rsidRDefault="0066279F" w:rsidP="001F4DFE">
      <w:pPr>
        <w:autoSpaceDE w:val="0"/>
        <w:autoSpaceDN w:val="0"/>
        <w:adjustRightInd w:val="0"/>
        <w:snapToGrid w:val="0"/>
        <w:spacing w:beforeLines="50" w:before="156" w:line="520" w:lineRule="atLeast"/>
        <w:ind w:firstLineChars="200" w:firstLine="482"/>
        <w:rPr>
          <w:rFonts w:ascii="Times New Roman" w:hAnsi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五、其他说明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 </w:t>
      </w:r>
    </w:p>
    <w:p w14:paraId="2B756969" w14:textId="77777777" w:rsidR="00341DDC" w:rsidRDefault="0066279F">
      <w:pPr>
        <w:autoSpaceDE w:val="0"/>
        <w:autoSpaceDN w:val="0"/>
        <w:adjustRightInd w:val="0"/>
        <w:snapToGrid w:val="0"/>
        <w:spacing w:line="520" w:lineRule="atLeast"/>
        <w:ind w:firstLineChars="200" w:firstLine="480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（一）</w:t>
      </w:r>
      <w:r>
        <w:rPr>
          <w:rFonts w:ascii="Times New Roman" w:hAnsi="Times New Roman"/>
          <w:color w:val="000000"/>
          <w:kern w:val="0"/>
          <w:sz w:val="24"/>
          <w:szCs w:val="24"/>
        </w:rPr>
        <w:t>本次增</w:t>
      </w: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持行为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>符合《证券法》等法律法规、部门规章及上海证券交易所业务规则等有关规定。</w:t>
      </w:r>
    </w:p>
    <w:p w14:paraId="59AC3C6D" w14:textId="7BD6877A" w:rsidR="00341DDC" w:rsidRDefault="0066279F">
      <w:pPr>
        <w:autoSpaceDE w:val="0"/>
        <w:autoSpaceDN w:val="0"/>
        <w:adjustRightInd w:val="0"/>
        <w:snapToGrid w:val="0"/>
        <w:spacing w:line="520" w:lineRule="atLeast"/>
        <w:ind w:firstLineChars="200" w:firstLine="480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（二）</w:t>
      </w:r>
      <w:r>
        <w:rPr>
          <w:rFonts w:ascii="Times New Roman" w:hAnsi="Times New Roman"/>
          <w:color w:val="000000"/>
          <w:kern w:val="0"/>
          <w:sz w:val="24"/>
          <w:szCs w:val="24"/>
        </w:rPr>
        <w:t>本次增</w:t>
      </w: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持计划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>的实施不会影响公司上市地位，不会导致公司股权分布</w:t>
      </w:r>
      <w:r>
        <w:rPr>
          <w:rFonts w:ascii="Times New Roman" w:hAnsi="Times New Roman"/>
          <w:color w:val="000000"/>
          <w:kern w:val="0"/>
          <w:sz w:val="24"/>
          <w:szCs w:val="24"/>
        </w:rPr>
        <w:t>不具备上市条件，不会导致公司控股股东及实际控制人发生变化。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</w:p>
    <w:p w14:paraId="7940DB6A" w14:textId="77777777" w:rsidR="00341DDC" w:rsidRDefault="0066279F">
      <w:pPr>
        <w:autoSpaceDE w:val="0"/>
        <w:autoSpaceDN w:val="0"/>
        <w:adjustRightInd w:val="0"/>
        <w:snapToGrid w:val="0"/>
        <w:spacing w:line="520" w:lineRule="atLeast"/>
        <w:ind w:firstLineChars="200" w:firstLine="480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（三）公司将根据《上海证券交易所股票上市规则》《上市公司收购管理办法》《上海证券交易所上市公司自律监管指引第</w:t>
      </w:r>
      <w:r>
        <w:rPr>
          <w:rFonts w:ascii="Times New Roman" w:hAnsi="Times New Roman"/>
          <w:color w:val="000000"/>
          <w:kern w:val="0"/>
          <w:sz w:val="24"/>
          <w:szCs w:val="24"/>
        </w:rPr>
        <w:t>8</w:t>
      </w:r>
      <w:r>
        <w:rPr>
          <w:rFonts w:ascii="Times New Roman" w:hAnsi="Times New Roman"/>
          <w:color w:val="000000"/>
          <w:kern w:val="0"/>
          <w:sz w:val="24"/>
          <w:szCs w:val="24"/>
        </w:rPr>
        <w:t>号</w:t>
      </w:r>
      <w:r>
        <w:rPr>
          <w:rFonts w:ascii="Times New Roman" w:hAnsi="Times New Roman"/>
          <w:color w:val="000000"/>
          <w:kern w:val="0"/>
          <w:sz w:val="24"/>
          <w:szCs w:val="24"/>
        </w:rPr>
        <w:t>——</w:t>
      </w:r>
      <w:r>
        <w:rPr>
          <w:rFonts w:ascii="Times New Roman" w:hAnsi="Times New Roman"/>
          <w:color w:val="000000"/>
          <w:kern w:val="0"/>
          <w:sz w:val="24"/>
          <w:szCs w:val="24"/>
        </w:rPr>
        <w:t>股份变动管理》的相关规定，持续关注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安图实业</w:t>
      </w:r>
      <w:r>
        <w:rPr>
          <w:rFonts w:ascii="Times New Roman" w:hAnsi="Times New Roman"/>
          <w:color w:val="000000"/>
          <w:kern w:val="0"/>
          <w:sz w:val="24"/>
          <w:szCs w:val="24"/>
        </w:rPr>
        <w:t>增持公司股份的有关情况，及时履行信息披露义务。</w:t>
      </w:r>
    </w:p>
    <w:p w14:paraId="5165A38C" w14:textId="77777777" w:rsidR="00341DDC" w:rsidRDefault="0066279F" w:rsidP="001F4DFE">
      <w:pPr>
        <w:autoSpaceDE w:val="0"/>
        <w:autoSpaceDN w:val="0"/>
        <w:adjustRightInd w:val="0"/>
        <w:snapToGrid w:val="0"/>
        <w:spacing w:beforeLines="50" w:before="156" w:line="520" w:lineRule="atLeast"/>
        <w:ind w:firstLineChars="200" w:firstLine="480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特此公告。</w:t>
      </w:r>
    </w:p>
    <w:p w14:paraId="2B61B198" w14:textId="77777777" w:rsidR="00341DDC" w:rsidRDefault="0066279F">
      <w:pPr>
        <w:autoSpaceDE w:val="0"/>
        <w:autoSpaceDN w:val="0"/>
        <w:adjustRightInd w:val="0"/>
        <w:snapToGrid w:val="0"/>
        <w:spacing w:line="520" w:lineRule="atLeast"/>
        <w:ind w:firstLineChars="200" w:firstLine="480"/>
        <w:jc w:val="righ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郑州安图生物工程股份有限公司董事会</w:t>
      </w:r>
    </w:p>
    <w:p w14:paraId="0659C197" w14:textId="77777777" w:rsidR="00341DDC" w:rsidRDefault="0066279F">
      <w:pPr>
        <w:autoSpaceDE w:val="0"/>
        <w:autoSpaceDN w:val="0"/>
        <w:adjustRightInd w:val="0"/>
        <w:snapToGrid w:val="0"/>
        <w:spacing w:line="520" w:lineRule="atLeast"/>
        <w:ind w:firstLineChars="200" w:firstLine="480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                                    2024</w:t>
      </w:r>
      <w:r>
        <w:rPr>
          <w:rFonts w:ascii="Times New Roman" w:hAnsi="Times New Roman"/>
          <w:color w:val="000000"/>
          <w:kern w:val="0"/>
          <w:sz w:val="24"/>
          <w:szCs w:val="24"/>
        </w:rPr>
        <w:t>年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9</w:t>
      </w:r>
      <w:r>
        <w:rPr>
          <w:rFonts w:ascii="Times New Roman" w:hAnsi="Times New Roman"/>
          <w:color w:val="000000"/>
          <w:kern w:val="0"/>
          <w:sz w:val="24"/>
          <w:szCs w:val="24"/>
        </w:rPr>
        <w:t>月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4</w:t>
      </w:r>
      <w:r>
        <w:rPr>
          <w:rFonts w:ascii="Times New Roman" w:hAnsi="Times New Roman"/>
          <w:color w:val="000000"/>
          <w:kern w:val="0"/>
          <w:sz w:val="24"/>
          <w:szCs w:val="24"/>
        </w:rPr>
        <w:t>日</w:t>
      </w:r>
    </w:p>
    <w:sectPr w:rsidR="00341DDC" w:rsidSect="007D1729"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063519" w14:textId="77777777" w:rsidR="0066279F" w:rsidRDefault="0066279F" w:rsidP="001F4DFE">
      <w:r>
        <w:separator/>
      </w:r>
    </w:p>
  </w:endnote>
  <w:endnote w:type="continuationSeparator" w:id="0">
    <w:p w14:paraId="5BF32277" w14:textId="77777777" w:rsidR="0066279F" w:rsidRDefault="0066279F" w:rsidP="001F4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8AAB3D" w14:textId="77777777" w:rsidR="0066279F" w:rsidRDefault="0066279F" w:rsidP="001F4DFE">
      <w:r>
        <w:separator/>
      </w:r>
    </w:p>
  </w:footnote>
  <w:footnote w:type="continuationSeparator" w:id="0">
    <w:p w14:paraId="1F72FF76" w14:textId="77777777" w:rsidR="0066279F" w:rsidRDefault="0066279F" w:rsidP="001F4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32E3DA"/>
    <w:multiLevelType w:val="singleLevel"/>
    <w:tmpl w:val="A032E3DA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E57A7F8"/>
    <w:multiLevelType w:val="singleLevel"/>
    <w:tmpl w:val="1E57A7F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xMTAyNTcyMzA2MDdiMDI1OTI5ZjkxNDI2ZDRlM2EifQ=="/>
  </w:docVars>
  <w:rsids>
    <w:rsidRoot w:val="5F822E1B"/>
    <w:rsid w:val="00155534"/>
    <w:rsid w:val="001F4DFE"/>
    <w:rsid w:val="00341DDC"/>
    <w:rsid w:val="0035693E"/>
    <w:rsid w:val="00565612"/>
    <w:rsid w:val="0057780D"/>
    <w:rsid w:val="0066279F"/>
    <w:rsid w:val="007D1729"/>
    <w:rsid w:val="007D5C7A"/>
    <w:rsid w:val="00930E5D"/>
    <w:rsid w:val="009D2F24"/>
    <w:rsid w:val="00A303F1"/>
    <w:rsid w:val="00E228DF"/>
    <w:rsid w:val="00E67301"/>
    <w:rsid w:val="00FB1EEB"/>
    <w:rsid w:val="010A673B"/>
    <w:rsid w:val="010B0007"/>
    <w:rsid w:val="010C1E89"/>
    <w:rsid w:val="013C1564"/>
    <w:rsid w:val="015805A4"/>
    <w:rsid w:val="015E4388"/>
    <w:rsid w:val="016937F4"/>
    <w:rsid w:val="01AF748E"/>
    <w:rsid w:val="01F36A11"/>
    <w:rsid w:val="02230D4D"/>
    <w:rsid w:val="02410185"/>
    <w:rsid w:val="03086528"/>
    <w:rsid w:val="03303D03"/>
    <w:rsid w:val="033C14D1"/>
    <w:rsid w:val="036A737F"/>
    <w:rsid w:val="03A72FCC"/>
    <w:rsid w:val="04010A34"/>
    <w:rsid w:val="040A1BC2"/>
    <w:rsid w:val="043C7762"/>
    <w:rsid w:val="0458346C"/>
    <w:rsid w:val="047616DE"/>
    <w:rsid w:val="047634D5"/>
    <w:rsid w:val="04BC77D2"/>
    <w:rsid w:val="04D04F1D"/>
    <w:rsid w:val="050710E5"/>
    <w:rsid w:val="051916BB"/>
    <w:rsid w:val="0551545E"/>
    <w:rsid w:val="055D1BDB"/>
    <w:rsid w:val="05966C5A"/>
    <w:rsid w:val="05C344DC"/>
    <w:rsid w:val="061F3C17"/>
    <w:rsid w:val="0655116C"/>
    <w:rsid w:val="06AB255A"/>
    <w:rsid w:val="06D252A4"/>
    <w:rsid w:val="06F432D1"/>
    <w:rsid w:val="07374092"/>
    <w:rsid w:val="073B5C2A"/>
    <w:rsid w:val="076171F5"/>
    <w:rsid w:val="07836382"/>
    <w:rsid w:val="078E6288"/>
    <w:rsid w:val="07CF4B7B"/>
    <w:rsid w:val="08036DDA"/>
    <w:rsid w:val="08873214"/>
    <w:rsid w:val="088A337B"/>
    <w:rsid w:val="08950AD1"/>
    <w:rsid w:val="08EE3D9D"/>
    <w:rsid w:val="08F94FE3"/>
    <w:rsid w:val="09074FBA"/>
    <w:rsid w:val="09674AFA"/>
    <w:rsid w:val="096D3D2E"/>
    <w:rsid w:val="098B4416"/>
    <w:rsid w:val="09DF23D1"/>
    <w:rsid w:val="0A8D4F11"/>
    <w:rsid w:val="0AB21718"/>
    <w:rsid w:val="0AD873BA"/>
    <w:rsid w:val="0B2C1BAE"/>
    <w:rsid w:val="0B3467BB"/>
    <w:rsid w:val="0B464720"/>
    <w:rsid w:val="0B5E5DA3"/>
    <w:rsid w:val="0B804708"/>
    <w:rsid w:val="0BE266B8"/>
    <w:rsid w:val="0BF363F5"/>
    <w:rsid w:val="0BFC7F3A"/>
    <w:rsid w:val="0C385F03"/>
    <w:rsid w:val="0C504614"/>
    <w:rsid w:val="0C5E1ACB"/>
    <w:rsid w:val="0C6558B9"/>
    <w:rsid w:val="0C9E047D"/>
    <w:rsid w:val="0D051467"/>
    <w:rsid w:val="0D055A3D"/>
    <w:rsid w:val="0D43262D"/>
    <w:rsid w:val="0DA61E63"/>
    <w:rsid w:val="0E0B76CC"/>
    <w:rsid w:val="0E20118F"/>
    <w:rsid w:val="0E496100"/>
    <w:rsid w:val="0E7D26F1"/>
    <w:rsid w:val="0E820182"/>
    <w:rsid w:val="0E961892"/>
    <w:rsid w:val="0E9F5977"/>
    <w:rsid w:val="0EB3301D"/>
    <w:rsid w:val="0ED015C6"/>
    <w:rsid w:val="0F313B30"/>
    <w:rsid w:val="0F395CBA"/>
    <w:rsid w:val="0F8275CB"/>
    <w:rsid w:val="0F881483"/>
    <w:rsid w:val="0F9F3E98"/>
    <w:rsid w:val="0FA70E3F"/>
    <w:rsid w:val="0FCE56D3"/>
    <w:rsid w:val="10447A21"/>
    <w:rsid w:val="105F6295"/>
    <w:rsid w:val="108279F4"/>
    <w:rsid w:val="10A87FC6"/>
    <w:rsid w:val="10B02E96"/>
    <w:rsid w:val="10CE71E0"/>
    <w:rsid w:val="11376A96"/>
    <w:rsid w:val="117B1B59"/>
    <w:rsid w:val="118A7DFC"/>
    <w:rsid w:val="11AA6E55"/>
    <w:rsid w:val="11C350CF"/>
    <w:rsid w:val="11D83E19"/>
    <w:rsid w:val="123220DF"/>
    <w:rsid w:val="12472FD8"/>
    <w:rsid w:val="129902A2"/>
    <w:rsid w:val="129D6301"/>
    <w:rsid w:val="12C17068"/>
    <w:rsid w:val="12C66FCA"/>
    <w:rsid w:val="131E6BFF"/>
    <w:rsid w:val="13213DA1"/>
    <w:rsid w:val="137F7419"/>
    <w:rsid w:val="13F93FD1"/>
    <w:rsid w:val="140F02C4"/>
    <w:rsid w:val="14307BD7"/>
    <w:rsid w:val="14455411"/>
    <w:rsid w:val="148D408E"/>
    <w:rsid w:val="14AB1A05"/>
    <w:rsid w:val="14AB6C5F"/>
    <w:rsid w:val="14CA71C0"/>
    <w:rsid w:val="14CE3D93"/>
    <w:rsid w:val="14D63B01"/>
    <w:rsid w:val="14E744AA"/>
    <w:rsid w:val="15191F98"/>
    <w:rsid w:val="15656A41"/>
    <w:rsid w:val="15B1435F"/>
    <w:rsid w:val="15D138FF"/>
    <w:rsid w:val="15EF3F79"/>
    <w:rsid w:val="16080BB3"/>
    <w:rsid w:val="16096003"/>
    <w:rsid w:val="164757ED"/>
    <w:rsid w:val="16602A79"/>
    <w:rsid w:val="16737868"/>
    <w:rsid w:val="168E2390"/>
    <w:rsid w:val="16A5500E"/>
    <w:rsid w:val="16C648CA"/>
    <w:rsid w:val="16CA497C"/>
    <w:rsid w:val="16D875B0"/>
    <w:rsid w:val="17104193"/>
    <w:rsid w:val="171E709C"/>
    <w:rsid w:val="171F186D"/>
    <w:rsid w:val="1725344C"/>
    <w:rsid w:val="173919F5"/>
    <w:rsid w:val="17420E5C"/>
    <w:rsid w:val="176F0BC6"/>
    <w:rsid w:val="17A07139"/>
    <w:rsid w:val="17BD7577"/>
    <w:rsid w:val="17D138ED"/>
    <w:rsid w:val="17F077A7"/>
    <w:rsid w:val="17F43191"/>
    <w:rsid w:val="18322BDA"/>
    <w:rsid w:val="18341AE1"/>
    <w:rsid w:val="18B675E8"/>
    <w:rsid w:val="18BB5689"/>
    <w:rsid w:val="18D73FD2"/>
    <w:rsid w:val="19171E4A"/>
    <w:rsid w:val="192B6210"/>
    <w:rsid w:val="193C6B19"/>
    <w:rsid w:val="194F281B"/>
    <w:rsid w:val="19747E0A"/>
    <w:rsid w:val="198B34BD"/>
    <w:rsid w:val="19917056"/>
    <w:rsid w:val="19AE7CED"/>
    <w:rsid w:val="19E45FB8"/>
    <w:rsid w:val="19F8605E"/>
    <w:rsid w:val="1A1E71DC"/>
    <w:rsid w:val="1A3E5780"/>
    <w:rsid w:val="1A492C35"/>
    <w:rsid w:val="1A6F2A4C"/>
    <w:rsid w:val="1AC63203"/>
    <w:rsid w:val="1AF60F83"/>
    <w:rsid w:val="1AFD6367"/>
    <w:rsid w:val="1B3B7FFB"/>
    <w:rsid w:val="1B8C0B80"/>
    <w:rsid w:val="1B9959AA"/>
    <w:rsid w:val="1BB356A0"/>
    <w:rsid w:val="1BFA5E55"/>
    <w:rsid w:val="1C0675EF"/>
    <w:rsid w:val="1C0E79E1"/>
    <w:rsid w:val="1C450F75"/>
    <w:rsid w:val="1C7934C0"/>
    <w:rsid w:val="1C810F11"/>
    <w:rsid w:val="1C8F49D0"/>
    <w:rsid w:val="1CEF0D55"/>
    <w:rsid w:val="1CF871A4"/>
    <w:rsid w:val="1CFB514B"/>
    <w:rsid w:val="1D00001D"/>
    <w:rsid w:val="1D1701F7"/>
    <w:rsid w:val="1D6A04BD"/>
    <w:rsid w:val="1DDB4670"/>
    <w:rsid w:val="1DDE32CC"/>
    <w:rsid w:val="1DE61863"/>
    <w:rsid w:val="1DFB3B20"/>
    <w:rsid w:val="1E16454E"/>
    <w:rsid w:val="1E493970"/>
    <w:rsid w:val="1E682865"/>
    <w:rsid w:val="1E6B4C7C"/>
    <w:rsid w:val="1E7B6F8F"/>
    <w:rsid w:val="1E86115C"/>
    <w:rsid w:val="1E8E08DA"/>
    <w:rsid w:val="1EB473A9"/>
    <w:rsid w:val="1EDA4BD4"/>
    <w:rsid w:val="1EE20D72"/>
    <w:rsid w:val="1F1511B7"/>
    <w:rsid w:val="1F462EDE"/>
    <w:rsid w:val="1F467A0F"/>
    <w:rsid w:val="1F4E2EFB"/>
    <w:rsid w:val="1F770ABB"/>
    <w:rsid w:val="1FAA06E4"/>
    <w:rsid w:val="1FAF4689"/>
    <w:rsid w:val="1FB432C9"/>
    <w:rsid w:val="1FD566E4"/>
    <w:rsid w:val="1FEA2A3B"/>
    <w:rsid w:val="2018123B"/>
    <w:rsid w:val="2029304D"/>
    <w:rsid w:val="203F4C73"/>
    <w:rsid w:val="205A07DD"/>
    <w:rsid w:val="205B26CD"/>
    <w:rsid w:val="206C3478"/>
    <w:rsid w:val="207E32DB"/>
    <w:rsid w:val="209751E0"/>
    <w:rsid w:val="20B14154"/>
    <w:rsid w:val="20C567B6"/>
    <w:rsid w:val="20DF7948"/>
    <w:rsid w:val="20F50E86"/>
    <w:rsid w:val="21197236"/>
    <w:rsid w:val="214F1724"/>
    <w:rsid w:val="21760653"/>
    <w:rsid w:val="218A4BB5"/>
    <w:rsid w:val="21AF568C"/>
    <w:rsid w:val="220120B1"/>
    <w:rsid w:val="22204559"/>
    <w:rsid w:val="228132EB"/>
    <w:rsid w:val="228D2171"/>
    <w:rsid w:val="22AC6A9F"/>
    <w:rsid w:val="22BF0B3D"/>
    <w:rsid w:val="22EF55A0"/>
    <w:rsid w:val="230E27C7"/>
    <w:rsid w:val="231E70EE"/>
    <w:rsid w:val="23424C0B"/>
    <w:rsid w:val="234D008B"/>
    <w:rsid w:val="23A111DC"/>
    <w:rsid w:val="23A150F4"/>
    <w:rsid w:val="23B43DEC"/>
    <w:rsid w:val="23CF31CD"/>
    <w:rsid w:val="23E355D4"/>
    <w:rsid w:val="240333C0"/>
    <w:rsid w:val="2405214D"/>
    <w:rsid w:val="242A6930"/>
    <w:rsid w:val="243A3E65"/>
    <w:rsid w:val="2445064E"/>
    <w:rsid w:val="245B3ADA"/>
    <w:rsid w:val="248B624F"/>
    <w:rsid w:val="24A40D8C"/>
    <w:rsid w:val="24D002C0"/>
    <w:rsid w:val="252A3F0D"/>
    <w:rsid w:val="25640E16"/>
    <w:rsid w:val="25703482"/>
    <w:rsid w:val="25A00B4C"/>
    <w:rsid w:val="25A82378"/>
    <w:rsid w:val="25CC5582"/>
    <w:rsid w:val="264130B2"/>
    <w:rsid w:val="2679090C"/>
    <w:rsid w:val="267D0C70"/>
    <w:rsid w:val="26AE5895"/>
    <w:rsid w:val="26F634AD"/>
    <w:rsid w:val="27835847"/>
    <w:rsid w:val="27DF73CD"/>
    <w:rsid w:val="27EA6BDE"/>
    <w:rsid w:val="27FD0A1A"/>
    <w:rsid w:val="28317A79"/>
    <w:rsid w:val="286A6179"/>
    <w:rsid w:val="28B618F2"/>
    <w:rsid w:val="28C87E82"/>
    <w:rsid w:val="291972D4"/>
    <w:rsid w:val="29393C54"/>
    <w:rsid w:val="294B7DE5"/>
    <w:rsid w:val="299037CA"/>
    <w:rsid w:val="29965BE3"/>
    <w:rsid w:val="29A5722F"/>
    <w:rsid w:val="29B73C0A"/>
    <w:rsid w:val="29FA6120"/>
    <w:rsid w:val="2A4A0A81"/>
    <w:rsid w:val="2A6752A1"/>
    <w:rsid w:val="2A7D06D5"/>
    <w:rsid w:val="2A9C283E"/>
    <w:rsid w:val="2AB305F3"/>
    <w:rsid w:val="2AB6541B"/>
    <w:rsid w:val="2B09144B"/>
    <w:rsid w:val="2B0B6021"/>
    <w:rsid w:val="2B1D526C"/>
    <w:rsid w:val="2B410602"/>
    <w:rsid w:val="2B596719"/>
    <w:rsid w:val="2B754750"/>
    <w:rsid w:val="2BF50370"/>
    <w:rsid w:val="2BFE41CE"/>
    <w:rsid w:val="2C144AEC"/>
    <w:rsid w:val="2C30569D"/>
    <w:rsid w:val="2C4457D7"/>
    <w:rsid w:val="2C623BFD"/>
    <w:rsid w:val="2C833D89"/>
    <w:rsid w:val="2C9145F9"/>
    <w:rsid w:val="2C9B50C8"/>
    <w:rsid w:val="2CCC4F42"/>
    <w:rsid w:val="2CCD3BCB"/>
    <w:rsid w:val="2CDC23CE"/>
    <w:rsid w:val="2CFF0E67"/>
    <w:rsid w:val="2D007131"/>
    <w:rsid w:val="2D3116AF"/>
    <w:rsid w:val="2D35145E"/>
    <w:rsid w:val="2D64484A"/>
    <w:rsid w:val="2D7F3DB7"/>
    <w:rsid w:val="2DB3087E"/>
    <w:rsid w:val="2DBE30C2"/>
    <w:rsid w:val="2DC343DD"/>
    <w:rsid w:val="2DD03A79"/>
    <w:rsid w:val="2DEF1878"/>
    <w:rsid w:val="2DF57B09"/>
    <w:rsid w:val="2E161D35"/>
    <w:rsid w:val="2E7A4831"/>
    <w:rsid w:val="2EA90AB3"/>
    <w:rsid w:val="2EC0405C"/>
    <w:rsid w:val="2F005429"/>
    <w:rsid w:val="2F78370D"/>
    <w:rsid w:val="2FD34AA8"/>
    <w:rsid w:val="2FDC4F92"/>
    <w:rsid w:val="2FE142B1"/>
    <w:rsid w:val="30050EBC"/>
    <w:rsid w:val="30184A9F"/>
    <w:rsid w:val="30594419"/>
    <w:rsid w:val="30624199"/>
    <w:rsid w:val="30AB3CE5"/>
    <w:rsid w:val="30DA2240"/>
    <w:rsid w:val="30EC0957"/>
    <w:rsid w:val="30F756C8"/>
    <w:rsid w:val="311838E1"/>
    <w:rsid w:val="313727F9"/>
    <w:rsid w:val="315F6741"/>
    <w:rsid w:val="317A10C4"/>
    <w:rsid w:val="31C8061D"/>
    <w:rsid w:val="32181069"/>
    <w:rsid w:val="32193EF4"/>
    <w:rsid w:val="32446D30"/>
    <w:rsid w:val="32464900"/>
    <w:rsid w:val="324B59D3"/>
    <w:rsid w:val="325178AD"/>
    <w:rsid w:val="32804831"/>
    <w:rsid w:val="32895324"/>
    <w:rsid w:val="32A06A19"/>
    <w:rsid w:val="332B06DA"/>
    <w:rsid w:val="338C4B2A"/>
    <w:rsid w:val="33904A81"/>
    <w:rsid w:val="33D33770"/>
    <w:rsid w:val="33D558DD"/>
    <w:rsid w:val="33DD1E33"/>
    <w:rsid w:val="33E90BCE"/>
    <w:rsid w:val="342823D4"/>
    <w:rsid w:val="342C2555"/>
    <w:rsid w:val="347545A1"/>
    <w:rsid w:val="34876A8A"/>
    <w:rsid w:val="349E5A6B"/>
    <w:rsid w:val="34C406A3"/>
    <w:rsid w:val="34D17E23"/>
    <w:rsid w:val="350B6C92"/>
    <w:rsid w:val="35313ED6"/>
    <w:rsid w:val="3598702C"/>
    <w:rsid w:val="35AA4A87"/>
    <w:rsid w:val="35F66AD0"/>
    <w:rsid w:val="360D1D0E"/>
    <w:rsid w:val="36223C03"/>
    <w:rsid w:val="363A0060"/>
    <w:rsid w:val="364B65FE"/>
    <w:rsid w:val="369918C5"/>
    <w:rsid w:val="36A437DF"/>
    <w:rsid w:val="36BB5929"/>
    <w:rsid w:val="36F43E3D"/>
    <w:rsid w:val="371769D6"/>
    <w:rsid w:val="372B1B80"/>
    <w:rsid w:val="372E794B"/>
    <w:rsid w:val="374F72D1"/>
    <w:rsid w:val="376A0B9C"/>
    <w:rsid w:val="37777D1C"/>
    <w:rsid w:val="37A73E39"/>
    <w:rsid w:val="37B21F7C"/>
    <w:rsid w:val="37C47C16"/>
    <w:rsid w:val="37D60FD9"/>
    <w:rsid w:val="37E43363"/>
    <w:rsid w:val="384E5507"/>
    <w:rsid w:val="38652787"/>
    <w:rsid w:val="38716B56"/>
    <w:rsid w:val="388B2178"/>
    <w:rsid w:val="389D21E1"/>
    <w:rsid w:val="38C74640"/>
    <w:rsid w:val="38C762FC"/>
    <w:rsid w:val="38DD51B6"/>
    <w:rsid w:val="39234954"/>
    <w:rsid w:val="39403F67"/>
    <w:rsid w:val="39522774"/>
    <w:rsid w:val="3955177B"/>
    <w:rsid w:val="396E2E3D"/>
    <w:rsid w:val="39AC6D3D"/>
    <w:rsid w:val="39B92D13"/>
    <w:rsid w:val="39D71396"/>
    <w:rsid w:val="39EB4B3C"/>
    <w:rsid w:val="3A1614AC"/>
    <w:rsid w:val="3A2C70BC"/>
    <w:rsid w:val="3A476F3B"/>
    <w:rsid w:val="3A4A7E22"/>
    <w:rsid w:val="3A4E6E7F"/>
    <w:rsid w:val="3AA94827"/>
    <w:rsid w:val="3AC3195A"/>
    <w:rsid w:val="3AD43830"/>
    <w:rsid w:val="3AE14504"/>
    <w:rsid w:val="3AE64341"/>
    <w:rsid w:val="3AFF4227"/>
    <w:rsid w:val="3B54713C"/>
    <w:rsid w:val="3B661ABE"/>
    <w:rsid w:val="3B921B79"/>
    <w:rsid w:val="3BE92588"/>
    <w:rsid w:val="3C7B0DB7"/>
    <w:rsid w:val="3C8E1640"/>
    <w:rsid w:val="3C976808"/>
    <w:rsid w:val="3CAE07FA"/>
    <w:rsid w:val="3CC0709E"/>
    <w:rsid w:val="3CEE6A97"/>
    <w:rsid w:val="3CEF3A27"/>
    <w:rsid w:val="3D0D2152"/>
    <w:rsid w:val="3D1F1370"/>
    <w:rsid w:val="3DB56117"/>
    <w:rsid w:val="3DE83850"/>
    <w:rsid w:val="3E322CAF"/>
    <w:rsid w:val="3E7E5157"/>
    <w:rsid w:val="3EA03E2A"/>
    <w:rsid w:val="3EAD1104"/>
    <w:rsid w:val="3EC543CE"/>
    <w:rsid w:val="3EC61C10"/>
    <w:rsid w:val="3F36328B"/>
    <w:rsid w:val="3F866CB2"/>
    <w:rsid w:val="3FAD641E"/>
    <w:rsid w:val="401210BD"/>
    <w:rsid w:val="402B317B"/>
    <w:rsid w:val="40530299"/>
    <w:rsid w:val="405A5C72"/>
    <w:rsid w:val="405F6DD9"/>
    <w:rsid w:val="40CE4719"/>
    <w:rsid w:val="40D93926"/>
    <w:rsid w:val="40FF63C6"/>
    <w:rsid w:val="416B23DB"/>
    <w:rsid w:val="41B25CFE"/>
    <w:rsid w:val="41D21B55"/>
    <w:rsid w:val="42045BC9"/>
    <w:rsid w:val="42117E61"/>
    <w:rsid w:val="42290D83"/>
    <w:rsid w:val="42425C8D"/>
    <w:rsid w:val="428D0912"/>
    <w:rsid w:val="42B93399"/>
    <w:rsid w:val="42CE45B8"/>
    <w:rsid w:val="42FF2F6A"/>
    <w:rsid w:val="43015894"/>
    <w:rsid w:val="43297EE1"/>
    <w:rsid w:val="433A3E46"/>
    <w:rsid w:val="438D4525"/>
    <w:rsid w:val="43967896"/>
    <w:rsid w:val="43A61208"/>
    <w:rsid w:val="43BC1FEC"/>
    <w:rsid w:val="43BD4392"/>
    <w:rsid w:val="43C62189"/>
    <w:rsid w:val="43F87784"/>
    <w:rsid w:val="441A38B2"/>
    <w:rsid w:val="444C2E86"/>
    <w:rsid w:val="445034CF"/>
    <w:rsid w:val="448E6736"/>
    <w:rsid w:val="44BA3279"/>
    <w:rsid w:val="4521502F"/>
    <w:rsid w:val="45351D85"/>
    <w:rsid w:val="455F6BB0"/>
    <w:rsid w:val="4571272E"/>
    <w:rsid w:val="45730429"/>
    <w:rsid w:val="45822AD1"/>
    <w:rsid w:val="45DB0E0E"/>
    <w:rsid w:val="45DE3268"/>
    <w:rsid w:val="465527F4"/>
    <w:rsid w:val="46C92FD3"/>
    <w:rsid w:val="479C7E09"/>
    <w:rsid w:val="47AC1502"/>
    <w:rsid w:val="47E31241"/>
    <w:rsid w:val="480C30AB"/>
    <w:rsid w:val="4826734C"/>
    <w:rsid w:val="48882E7B"/>
    <w:rsid w:val="4894080B"/>
    <w:rsid w:val="489726C0"/>
    <w:rsid w:val="489848C9"/>
    <w:rsid w:val="489D4B12"/>
    <w:rsid w:val="48B41258"/>
    <w:rsid w:val="48C60FE0"/>
    <w:rsid w:val="492E1D39"/>
    <w:rsid w:val="493C68BD"/>
    <w:rsid w:val="4944559F"/>
    <w:rsid w:val="49787904"/>
    <w:rsid w:val="49CA2130"/>
    <w:rsid w:val="49DF465C"/>
    <w:rsid w:val="49E60D36"/>
    <w:rsid w:val="4A111CDE"/>
    <w:rsid w:val="4A9A36F1"/>
    <w:rsid w:val="4ADA599A"/>
    <w:rsid w:val="4ADF51FB"/>
    <w:rsid w:val="4AF842E2"/>
    <w:rsid w:val="4B041C6F"/>
    <w:rsid w:val="4B117A4A"/>
    <w:rsid w:val="4B43459D"/>
    <w:rsid w:val="4B522B71"/>
    <w:rsid w:val="4B907E7F"/>
    <w:rsid w:val="4BB31956"/>
    <w:rsid w:val="4BB6721E"/>
    <w:rsid w:val="4BB76F8E"/>
    <w:rsid w:val="4BF8722F"/>
    <w:rsid w:val="4C0E3DD8"/>
    <w:rsid w:val="4C1916F3"/>
    <w:rsid w:val="4C2151FE"/>
    <w:rsid w:val="4C2D7B21"/>
    <w:rsid w:val="4C4F31B7"/>
    <w:rsid w:val="4C660B0B"/>
    <w:rsid w:val="4C6645C5"/>
    <w:rsid w:val="4C8F2B8B"/>
    <w:rsid w:val="4CAB1FFF"/>
    <w:rsid w:val="4CB62FF6"/>
    <w:rsid w:val="4CDE5B37"/>
    <w:rsid w:val="4CFD1725"/>
    <w:rsid w:val="4D246FC9"/>
    <w:rsid w:val="4D641ADC"/>
    <w:rsid w:val="4D696445"/>
    <w:rsid w:val="4D7A2D46"/>
    <w:rsid w:val="4DA435D2"/>
    <w:rsid w:val="4DB31BF3"/>
    <w:rsid w:val="4DCE082C"/>
    <w:rsid w:val="4E032750"/>
    <w:rsid w:val="4E274390"/>
    <w:rsid w:val="4E317C7B"/>
    <w:rsid w:val="4E3D76A7"/>
    <w:rsid w:val="4E526607"/>
    <w:rsid w:val="4E810026"/>
    <w:rsid w:val="4EAB60B3"/>
    <w:rsid w:val="4EC91640"/>
    <w:rsid w:val="4EE33A6E"/>
    <w:rsid w:val="4EFD583D"/>
    <w:rsid w:val="4F182610"/>
    <w:rsid w:val="4F1F1040"/>
    <w:rsid w:val="4F2908AC"/>
    <w:rsid w:val="4F7F4C28"/>
    <w:rsid w:val="4FA41027"/>
    <w:rsid w:val="50253067"/>
    <w:rsid w:val="50512EF7"/>
    <w:rsid w:val="50521DC9"/>
    <w:rsid w:val="506B597F"/>
    <w:rsid w:val="506B5B5D"/>
    <w:rsid w:val="50C07071"/>
    <w:rsid w:val="50D24EAF"/>
    <w:rsid w:val="511C76A4"/>
    <w:rsid w:val="513F6BC2"/>
    <w:rsid w:val="514D5773"/>
    <w:rsid w:val="51641797"/>
    <w:rsid w:val="522657E8"/>
    <w:rsid w:val="522B30E3"/>
    <w:rsid w:val="522F2702"/>
    <w:rsid w:val="525D3B78"/>
    <w:rsid w:val="52841905"/>
    <w:rsid w:val="52AE1FE7"/>
    <w:rsid w:val="52D915E5"/>
    <w:rsid w:val="535871A2"/>
    <w:rsid w:val="535A5FE5"/>
    <w:rsid w:val="53CA4D61"/>
    <w:rsid w:val="53D74ED0"/>
    <w:rsid w:val="54504E34"/>
    <w:rsid w:val="54604116"/>
    <w:rsid w:val="54654395"/>
    <w:rsid w:val="547C58B2"/>
    <w:rsid w:val="548F7F9A"/>
    <w:rsid w:val="54BA1CB1"/>
    <w:rsid w:val="54EB1C10"/>
    <w:rsid w:val="54EC6A1E"/>
    <w:rsid w:val="54F91CC5"/>
    <w:rsid w:val="550D3B2E"/>
    <w:rsid w:val="554338EA"/>
    <w:rsid w:val="554849DF"/>
    <w:rsid w:val="55647FAC"/>
    <w:rsid w:val="558D2A96"/>
    <w:rsid w:val="55A62716"/>
    <w:rsid w:val="55B535A9"/>
    <w:rsid w:val="55FD2AC5"/>
    <w:rsid w:val="56176B45"/>
    <w:rsid w:val="56610D3E"/>
    <w:rsid w:val="568F4135"/>
    <w:rsid w:val="569B4E3C"/>
    <w:rsid w:val="56C5217B"/>
    <w:rsid w:val="56E7211B"/>
    <w:rsid w:val="572B287D"/>
    <w:rsid w:val="57310274"/>
    <w:rsid w:val="57724849"/>
    <w:rsid w:val="57B212E7"/>
    <w:rsid w:val="57B8129A"/>
    <w:rsid w:val="57C144EA"/>
    <w:rsid w:val="58036F1E"/>
    <w:rsid w:val="58085E6B"/>
    <w:rsid w:val="58110CA5"/>
    <w:rsid w:val="58663804"/>
    <w:rsid w:val="58BE719A"/>
    <w:rsid w:val="58DB22A0"/>
    <w:rsid w:val="59211FD8"/>
    <w:rsid w:val="59375417"/>
    <w:rsid w:val="594A5EAE"/>
    <w:rsid w:val="595B7664"/>
    <w:rsid w:val="598119FF"/>
    <w:rsid w:val="5A23729C"/>
    <w:rsid w:val="5A5311B1"/>
    <w:rsid w:val="5A7B2F31"/>
    <w:rsid w:val="5AC91470"/>
    <w:rsid w:val="5B8954AA"/>
    <w:rsid w:val="5BB60DE9"/>
    <w:rsid w:val="5BDA6D0E"/>
    <w:rsid w:val="5BF05DCC"/>
    <w:rsid w:val="5C040E1E"/>
    <w:rsid w:val="5C0D2434"/>
    <w:rsid w:val="5C144E64"/>
    <w:rsid w:val="5C3E2B82"/>
    <w:rsid w:val="5C5E28D4"/>
    <w:rsid w:val="5C751F12"/>
    <w:rsid w:val="5C7930DF"/>
    <w:rsid w:val="5C7D205C"/>
    <w:rsid w:val="5CCE0498"/>
    <w:rsid w:val="5D2A4E0C"/>
    <w:rsid w:val="5D3E0F7A"/>
    <w:rsid w:val="5D5938D6"/>
    <w:rsid w:val="5D5A69D1"/>
    <w:rsid w:val="5D775BFF"/>
    <w:rsid w:val="5D7C40C8"/>
    <w:rsid w:val="5D8201D6"/>
    <w:rsid w:val="5D842F97"/>
    <w:rsid w:val="5DB94F82"/>
    <w:rsid w:val="5E341FC3"/>
    <w:rsid w:val="5E866AA5"/>
    <w:rsid w:val="5E972C6A"/>
    <w:rsid w:val="5E985036"/>
    <w:rsid w:val="5EA12125"/>
    <w:rsid w:val="5EAF6AF4"/>
    <w:rsid w:val="5ED45AAE"/>
    <w:rsid w:val="5EFC3A7A"/>
    <w:rsid w:val="5F1F4134"/>
    <w:rsid w:val="5F261235"/>
    <w:rsid w:val="5F822E1B"/>
    <w:rsid w:val="5FB0302E"/>
    <w:rsid w:val="5FB34437"/>
    <w:rsid w:val="5FEB5837"/>
    <w:rsid w:val="60106B84"/>
    <w:rsid w:val="60ED6278"/>
    <w:rsid w:val="611625AE"/>
    <w:rsid w:val="612D0C16"/>
    <w:rsid w:val="615D3CF2"/>
    <w:rsid w:val="61624955"/>
    <w:rsid w:val="616950C6"/>
    <w:rsid w:val="616A38BD"/>
    <w:rsid w:val="61917379"/>
    <w:rsid w:val="61B84137"/>
    <w:rsid w:val="61BD395C"/>
    <w:rsid w:val="61C738F4"/>
    <w:rsid w:val="61CB1642"/>
    <w:rsid w:val="61D22E4F"/>
    <w:rsid w:val="623E43B1"/>
    <w:rsid w:val="624040A2"/>
    <w:rsid w:val="62636F65"/>
    <w:rsid w:val="628B7806"/>
    <w:rsid w:val="62BC05DD"/>
    <w:rsid w:val="62ED4266"/>
    <w:rsid w:val="632D72F5"/>
    <w:rsid w:val="63317739"/>
    <w:rsid w:val="63377D8E"/>
    <w:rsid w:val="6345362E"/>
    <w:rsid w:val="637176CE"/>
    <w:rsid w:val="639A4500"/>
    <w:rsid w:val="63A76B79"/>
    <w:rsid w:val="63BF7B17"/>
    <w:rsid w:val="63EC5BDF"/>
    <w:rsid w:val="641C70E4"/>
    <w:rsid w:val="64446336"/>
    <w:rsid w:val="64684D8E"/>
    <w:rsid w:val="646C70A1"/>
    <w:rsid w:val="647C09C6"/>
    <w:rsid w:val="64E938CF"/>
    <w:rsid w:val="64EF140E"/>
    <w:rsid w:val="652651EA"/>
    <w:rsid w:val="652F5F38"/>
    <w:rsid w:val="65491FE0"/>
    <w:rsid w:val="65931F89"/>
    <w:rsid w:val="66040C02"/>
    <w:rsid w:val="66052B3D"/>
    <w:rsid w:val="6649673A"/>
    <w:rsid w:val="666C158A"/>
    <w:rsid w:val="66930F0A"/>
    <w:rsid w:val="66D62BE3"/>
    <w:rsid w:val="66DD1B86"/>
    <w:rsid w:val="66F81D36"/>
    <w:rsid w:val="66FC32B9"/>
    <w:rsid w:val="670D3022"/>
    <w:rsid w:val="671E2B43"/>
    <w:rsid w:val="676E673E"/>
    <w:rsid w:val="68106D4E"/>
    <w:rsid w:val="6867258C"/>
    <w:rsid w:val="68813BBA"/>
    <w:rsid w:val="68867FFB"/>
    <w:rsid w:val="6899333E"/>
    <w:rsid w:val="68BE4797"/>
    <w:rsid w:val="68D46C28"/>
    <w:rsid w:val="68E25FC1"/>
    <w:rsid w:val="68F459F9"/>
    <w:rsid w:val="69230E15"/>
    <w:rsid w:val="69255CDA"/>
    <w:rsid w:val="69A82A7E"/>
    <w:rsid w:val="69D714D9"/>
    <w:rsid w:val="69E446C5"/>
    <w:rsid w:val="6A433693"/>
    <w:rsid w:val="6A7127E0"/>
    <w:rsid w:val="6A713147"/>
    <w:rsid w:val="6A87687F"/>
    <w:rsid w:val="6A883FDE"/>
    <w:rsid w:val="6AD85456"/>
    <w:rsid w:val="6AE56791"/>
    <w:rsid w:val="6AF819A4"/>
    <w:rsid w:val="6B443D84"/>
    <w:rsid w:val="6B8B53F4"/>
    <w:rsid w:val="6B9B0E83"/>
    <w:rsid w:val="6BC112D4"/>
    <w:rsid w:val="6BDB49CE"/>
    <w:rsid w:val="6C277AEE"/>
    <w:rsid w:val="6C3708EC"/>
    <w:rsid w:val="6C3B7451"/>
    <w:rsid w:val="6C4F4389"/>
    <w:rsid w:val="6C777122"/>
    <w:rsid w:val="6CBF3A1D"/>
    <w:rsid w:val="6D356402"/>
    <w:rsid w:val="6D723D2D"/>
    <w:rsid w:val="6D78625A"/>
    <w:rsid w:val="6D7B384A"/>
    <w:rsid w:val="6D904877"/>
    <w:rsid w:val="6DA82780"/>
    <w:rsid w:val="6DDE7D22"/>
    <w:rsid w:val="6E0849DE"/>
    <w:rsid w:val="6E2172DF"/>
    <w:rsid w:val="6E237037"/>
    <w:rsid w:val="6E243571"/>
    <w:rsid w:val="6E2C5B63"/>
    <w:rsid w:val="6E510460"/>
    <w:rsid w:val="6E5802A7"/>
    <w:rsid w:val="6E61654C"/>
    <w:rsid w:val="6E764659"/>
    <w:rsid w:val="6E9E25FB"/>
    <w:rsid w:val="6EA441DB"/>
    <w:rsid w:val="6EC601BE"/>
    <w:rsid w:val="6F0F1043"/>
    <w:rsid w:val="6F216511"/>
    <w:rsid w:val="6F5C79C9"/>
    <w:rsid w:val="6F7C203A"/>
    <w:rsid w:val="6F94260A"/>
    <w:rsid w:val="6FFC3EEE"/>
    <w:rsid w:val="70071C18"/>
    <w:rsid w:val="70207623"/>
    <w:rsid w:val="702F7B91"/>
    <w:rsid w:val="707C10E6"/>
    <w:rsid w:val="708A3EB2"/>
    <w:rsid w:val="709A7491"/>
    <w:rsid w:val="70AE02BF"/>
    <w:rsid w:val="70E8226A"/>
    <w:rsid w:val="70F91235"/>
    <w:rsid w:val="71151D65"/>
    <w:rsid w:val="714F0E73"/>
    <w:rsid w:val="71523038"/>
    <w:rsid w:val="7173041B"/>
    <w:rsid w:val="71767EB5"/>
    <w:rsid w:val="71824E67"/>
    <w:rsid w:val="71965356"/>
    <w:rsid w:val="71A27499"/>
    <w:rsid w:val="71AC135D"/>
    <w:rsid w:val="71BF00EA"/>
    <w:rsid w:val="71EE14BF"/>
    <w:rsid w:val="71F527F4"/>
    <w:rsid w:val="72042BA2"/>
    <w:rsid w:val="721C1896"/>
    <w:rsid w:val="72390123"/>
    <w:rsid w:val="72441A94"/>
    <w:rsid w:val="72482AB7"/>
    <w:rsid w:val="726827B7"/>
    <w:rsid w:val="726D1EDF"/>
    <w:rsid w:val="72805373"/>
    <w:rsid w:val="72CD44B8"/>
    <w:rsid w:val="72E9034A"/>
    <w:rsid w:val="73006FE2"/>
    <w:rsid w:val="7301425F"/>
    <w:rsid w:val="732F69F7"/>
    <w:rsid w:val="737177E4"/>
    <w:rsid w:val="7390766A"/>
    <w:rsid w:val="73A100DF"/>
    <w:rsid w:val="73A61203"/>
    <w:rsid w:val="73AD5D65"/>
    <w:rsid w:val="73AE286D"/>
    <w:rsid w:val="73C03DED"/>
    <w:rsid w:val="73CC6DA0"/>
    <w:rsid w:val="74050EE1"/>
    <w:rsid w:val="740E4259"/>
    <w:rsid w:val="74837A01"/>
    <w:rsid w:val="749F05CA"/>
    <w:rsid w:val="75176C88"/>
    <w:rsid w:val="752174F4"/>
    <w:rsid w:val="752E6334"/>
    <w:rsid w:val="7541738A"/>
    <w:rsid w:val="754F2FF7"/>
    <w:rsid w:val="7584382C"/>
    <w:rsid w:val="75960E3C"/>
    <w:rsid w:val="75AF22D1"/>
    <w:rsid w:val="75B06B53"/>
    <w:rsid w:val="75B37AB0"/>
    <w:rsid w:val="75CD25A7"/>
    <w:rsid w:val="75DA7718"/>
    <w:rsid w:val="75F645C5"/>
    <w:rsid w:val="75F80B79"/>
    <w:rsid w:val="75FB3232"/>
    <w:rsid w:val="76272E31"/>
    <w:rsid w:val="763F069E"/>
    <w:rsid w:val="76401C21"/>
    <w:rsid w:val="76485EB8"/>
    <w:rsid w:val="764A7AB6"/>
    <w:rsid w:val="76824A42"/>
    <w:rsid w:val="76930E6E"/>
    <w:rsid w:val="76B70A20"/>
    <w:rsid w:val="76DE24EE"/>
    <w:rsid w:val="77113032"/>
    <w:rsid w:val="77217E71"/>
    <w:rsid w:val="7729084B"/>
    <w:rsid w:val="77365181"/>
    <w:rsid w:val="776D145F"/>
    <w:rsid w:val="779A607B"/>
    <w:rsid w:val="77C45618"/>
    <w:rsid w:val="77F739E6"/>
    <w:rsid w:val="78395021"/>
    <w:rsid w:val="78475714"/>
    <w:rsid w:val="78477D64"/>
    <w:rsid w:val="784B3BFA"/>
    <w:rsid w:val="7860057F"/>
    <w:rsid w:val="78656C29"/>
    <w:rsid w:val="78AC03B4"/>
    <w:rsid w:val="78BC305D"/>
    <w:rsid w:val="78CF0B1E"/>
    <w:rsid w:val="790C57C1"/>
    <w:rsid w:val="790D5434"/>
    <w:rsid w:val="791355CD"/>
    <w:rsid w:val="79215835"/>
    <w:rsid w:val="792F6945"/>
    <w:rsid w:val="79445A2A"/>
    <w:rsid w:val="79515B2C"/>
    <w:rsid w:val="797063D9"/>
    <w:rsid w:val="79760AF0"/>
    <w:rsid w:val="79836333"/>
    <w:rsid w:val="7A20786B"/>
    <w:rsid w:val="7A2D7C5E"/>
    <w:rsid w:val="7A7C2ED4"/>
    <w:rsid w:val="7AB36018"/>
    <w:rsid w:val="7ACE0C73"/>
    <w:rsid w:val="7AE87CA2"/>
    <w:rsid w:val="7AEA3EE2"/>
    <w:rsid w:val="7B1B136D"/>
    <w:rsid w:val="7B2418DF"/>
    <w:rsid w:val="7B3E417F"/>
    <w:rsid w:val="7B514D00"/>
    <w:rsid w:val="7B5A164E"/>
    <w:rsid w:val="7B8951A6"/>
    <w:rsid w:val="7BA53D97"/>
    <w:rsid w:val="7C852BB3"/>
    <w:rsid w:val="7CB33030"/>
    <w:rsid w:val="7CC52F79"/>
    <w:rsid w:val="7CD92345"/>
    <w:rsid w:val="7CF213DB"/>
    <w:rsid w:val="7D1D6697"/>
    <w:rsid w:val="7D404697"/>
    <w:rsid w:val="7D622682"/>
    <w:rsid w:val="7D63350F"/>
    <w:rsid w:val="7D6C7744"/>
    <w:rsid w:val="7D7123C5"/>
    <w:rsid w:val="7D7E47BE"/>
    <w:rsid w:val="7D8B0FB0"/>
    <w:rsid w:val="7D937109"/>
    <w:rsid w:val="7DED2F1A"/>
    <w:rsid w:val="7DF91C5E"/>
    <w:rsid w:val="7E102F15"/>
    <w:rsid w:val="7E1A6D3F"/>
    <w:rsid w:val="7E2D7351"/>
    <w:rsid w:val="7E54713A"/>
    <w:rsid w:val="7E904166"/>
    <w:rsid w:val="7E974369"/>
    <w:rsid w:val="7EF916F1"/>
    <w:rsid w:val="7F736FFB"/>
    <w:rsid w:val="7FD1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autoRedefine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大琳子</dc:creator>
  <cp:lastModifiedBy>admin</cp:lastModifiedBy>
  <cp:revision>12</cp:revision>
  <cp:lastPrinted>2024-08-21T08:52:00Z</cp:lastPrinted>
  <dcterms:created xsi:type="dcterms:W3CDTF">2024-04-19T05:07:00Z</dcterms:created>
  <dcterms:modified xsi:type="dcterms:W3CDTF">2024-09-04T14:56:00Z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B88B5B03AB40485E9A76C42D6F258886_11</vt:lpwstr>
  </property>
</Properties>
</file>