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58494" w14:textId="738CD5CB" w:rsidR="006352B2" w:rsidRPr="00034AA8" w:rsidRDefault="0014139A">
      <w:pPr>
        <w:adjustRightInd w:val="0"/>
        <w:snapToGrid w:val="0"/>
        <w:spacing w:line="360" w:lineRule="auto"/>
        <w:rPr>
          <w:rFonts w:ascii="Times New Roman" w:hAnsi="Times New Roman"/>
          <w:b/>
          <w:sz w:val="24"/>
        </w:rPr>
      </w:pPr>
      <w:r>
        <w:rPr>
          <w:rFonts w:ascii="Times New Roman" w:hAnsi="Times New Roman"/>
          <w:b/>
          <w:sz w:val="24"/>
        </w:rPr>
        <w:t>证券代码：</w:t>
      </w:r>
      <w:r>
        <w:rPr>
          <w:rFonts w:ascii="Times New Roman" w:hAnsi="Times New Roman"/>
          <w:b/>
          <w:sz w:val="24"/>
        </w:rPr>
        <w:t xml:space="preserve">603658         </w:t>
      </w:r>
      <w:r>
        <w:rPr>
          <w:rFonts w:ascii="Times New Roman" w:hAnsi="Times New Roman"/>
          <w:b/>
          <w:sz w:val="24"/>
        </w:rPr>
        <w:t>证券简称：安图生物</w:t>
      </w:r>
      <w:r>
        <w:rPr>
          <w:rFonts w:ascii="Times New Roman" w:hAnsi="Times New Roman"/>
          <w:b/>
          <w:sz w:val="24"/>
        </w:rPr>
        <w:t xml:space="preserve">         </w:t>
      </w:r>
      <w:r w:rsidRPr="00034AA8">
        <w:rPr>
          <w:rFonts w:ascii="Times New Roman" w:hAnsi="Times New Roman"/>
          <w:b/>
          <w:sz w:val="24"/>
        </w:rPr>
        <w:t>公告编号：</w:t>
      </w:r>
      <w:r w:rsidRPr="00034AA8">
        <w:rPr>
          <w:rFonts w:ascii="Times New Roman" w:hAnsi="Times New Roman"/>
          <w:b/>
          <w:sz w:val="24"/>
        </w:rPr>
        <w:t>2024-</w:t>
      </w:r>
      <w:r w:rsidRPr="00034AA8">
        <w:rPr>
          <w:rFonts w:ascii="Times New Roman" w:hAnsi="Times New Roman" w:hint="eastAsia"/>
          <w:b/>
          <w:sz w:val="24"/>
        </w:rPr>
        <w:t>0</w:t>
      </w:r>
      <w:r w:rsidR="002940CE" w:rsidRPr="00034AA8">
        <w:rPr>
          <w:rFonts w:ascii="Times New Roman" w:hAnsi="Times New Roman" w:hint="eastAsia"/>
          <w:b/>
          <w:sz w:val="24"/>
        </w:rPr>
        <w:t>62</w:t>
      </w:r>
    </w:p>
    <w:p w14:paraId="78DFC342" w14:textId="77777777" w:rsidR="006352B2" w:rsidRDefault="006352B2">
      <w:pPr>
        <w:adjustRightInd w:val="0"/>
        <w:snapToGrid w:val="0"/>
        <w:spacing w:line="360" w:lineRule="auto"/>
        <w:ind w:firstLineChars="200" w:firstLine="480"/>
        <w:rPr>
          <w:rFonts w:ascii="Times New Roman" w:hAnsi="Times New Roman"/>
          <w:sz w:val="24"/>
        </w:rPr>
      </w:pPr>
    </w:p>
    <w:p w14:paraId="37104B98" w14:textId="77777777" w:rsidR="006352B2" w:rsidRDefault="0014139A" w:rsidP="002940CE">
      <w:pPr>
        <w:spacing w:beforeLines="50" w:before="156" w:line="360" w:lineRule="auto"/>
        <w:jc w:val="center"/>
        <w:rPr>
          <w:rFonts w:ascii="Times New Roman" w:eastAsia="黑体" w:hAnsi="Times New Roman"/>
          <w:b/>
          <w:sz w:val="36"/>
          <w:szCs w:val="36"/>
        </w:rPr>
      </w:pPr>
      <w:r>
        <w:rPr>
          <w:rFonts w:ascii="Times New Roman" w:eastAsia="黑体" w:hAnsi="Times New Roman"/>
          <w:b/>
          <w:sz w:val="36"/>
          <w:szCs w:val="36"/>
        </w:rPr>
        <w:t>郑州安图生物工程股份有限公司</w:t>
      </w:r>
    </w:p>
    <w:p w14:paraId="45BF0436" w14:textId="710E0CFF" w:rsidR="006352B2" w:rsidRDefault="0014139A">
      <w:pPr>
        <w:spacing w:line="360" w:lineRule="auto"/>
        <w:jc w:val="center"/>
        <w:rPr>
          <w:rFonts w:ascii="Times New Roman" w:eastAsia="黑体" w:hAnsi="Times New Roman"/>
          <w:b/>
          <w:color w:val="000000"/>
          <w:kern w:val="0"/>
          <w:sz w:val="36"/>
          <w:szCs w:val="36"/>
        </w:rPr>
      </w:pPr>
      <w:r>
        <w:rPr>
          <w:rFonts w:ascii="Times New Roman" w:eastAsia="黑体" w:hAnsi="Times New Roman"/>
          <w:b/>
          <w:color w:val="000000"/>
          <w:kern w:val="0"/>
          <w:sz w:val="36"/>
          <w:szCs w:val="36"/>
        </w:rPr>
        <w:t>关于</w:t>
      </w:r>
      <w:r>
        <w:rPr>
          <w:rFonts w:ascii="Times New Roman" w:eastAsia="黑体" w:hAnsi="Times New Roman" w:hint="eastAsia"/>
          <w:b/>
          <w:color w:val="000000"/>
          <w:kern w:val="0"/>
          <w:sz w:val="36"/>
          <w:szCs w:val="36"/>
        </w:rPr>
        <w:t>控股股东</w:t>
      </w:r>
      <w:r>
        <w:rPr>
          <w:rFonts w:ascii="Times New Roman" w:eastAsia="黑体" w:hAnsi="Times New Roman"/>
          <w:b/>
          <w:color w:val="000000"/>
          <w:kern w:val="0"/>
          <w:sz w:val="36"/>
          <w:szCs w:val="36"/>
        </w:rPr>
        <w:t>权益变动</w:t>
      </w:r>
      <w:r w:rsidR="00FC6B0A">
        <w:rPr>
          <w:rFonts w:ascii="Times New Roman" w:eastAsia="黑体" w:hAnsi="Times New Roman" w:hint="eastAsia"/>
          <w:b/>
          <w:color w:val="000000"/>
          <w:kern w:val="0"/>
          <w:sz w:val="36"/>
          <w:szCs w:val="36"/>
        </w:rPr>
        <w:t>超</w:t>
      </w:r>
      <w:r>
        <w:rPr>
          <w:rFonts w:ascii="Times New Roman" w:eastAsia="黑体" w:hAnsi="Times New Roman"/>
          <w:b/>
          <w:color w:val="000000"/>
          <w:kern w:val="0"/>
          <w:sz w:val="36"/>
          <w:szCs w:val="36"/>
        </w:rPr>
        <w:t>1%</w:t>
      </w:r>
      <w:r>
        <w:rPr>
          <w:rFonts w:ascii="Times New Roman" w:eastAsia="黑体" w:hAnsi="Times New Roman"/>
          <w:b/>
          <w:color w:val="000000"/>
          <w:kern w:val="0"/>
          <w:sz w:val="36"/>
          <w:szCs w:val="36"/>
        </w:rPr>
        <w:t>的提示性公告</w:t>
      </w:r>
    </w:p>
    <w:p w14:paraId="587A90DB" w14:textId="77777777" w:rsidR="006352B2" w:rsidRDefault="0014139A">
      <w:pPr>
        <w:pBdr>
          <w:top w:val="single" w:sz="4" w:space="1" w:color="auto"/>
          <w:left w:val="single" w:sz="4" w:space="4" w:color="auto"/>
          <w:bottom w:val="single" w:sz="4" w:space="1" w:color="auto"/>
          <w:right w:val="single" w:sz="4" w:space="4" w:color="auto"/>
        </w:pBdr>
        <w:adjustRightInd w:val="0"/>
        <w:snapToGrid w:val="0"/>
        <w:spacing w:line="500" w:lineRule="exact"/>
        <w:rPr>
          <w:rFonts w:ascii="Times New Roman" w:hAnsi="Times New Roman"/>
          <w:sz w:val="24"/>
        </w:rPr>
      </w:pPr>
      <w:r>
        <w:rPr>
          <w:rFonts w:ascii="Times New Roman" w:hAnsi="Times New Roman"/>
          <w:sz w:val="24"/>
        </w:rPr>
        <w:t xml:space="preserve">    </w:t>
      </w:r>
      <w:r>
        <w:rPr>
          <w:rFonts w:ascii="Times New Roman" w:hAnsi="Times New Roman"/>
          <w:sz w:val="24"/>
        </w:rPr>
        <w:t>本公司董事会及全体董事保证本公告内容不存在任何虚假记载、误导性陈述或者重大遗漏，并对其内容的真实性、准确性和完整性承担法律责任。</w:t>
      </w:r>
    </w:p>
    <w:p w14:paraId="2C4F4840" w14:textId="77777777" w:rsidR="006352B2" w:rsidRDefault="0014139A" w:rsidP="002940CE">
      <w:pPr>
        <w:adjustRightInd w:val="0"/>
        <w:snapToGrid w:val="0"/>
        <w:spacing w:beforeLines="100" w:before="312" w:line="520" w:lineRule="exact"/>
        <w:ind w:firstLineChars="200" w:firstLine="482"/>
        <w:rPr>
          <w:rFonts w:ascii="Times New Roman" w:hAnsi="Times New Roman"/>
          <w:b/>
          <w:sz w:val="24"/>
          <w:szCs w:val="24"/>
        </w:rPr>
      </w:pPr>
      <w:r>
        <w:rPr>
          <w:rFonts w:ascii="Times New Roman" w:hAnsi="Times New Roman"/>
          <w:b/>
          <w:sz w:val="24"/>
          <w:szCs w:val="24"/>
        </w:rPr>
        <w:t>重要内容提示：</w:t>
      </w:r>
    </w:p>
    <w:p w14:paraId="5472623B" w14:textId="599192C1" w:rsidR="006352B2" w:rsidRDefault="0014139A">
      <w:pPr>
        <w:numPr>
          <w:ilvl w:val="1"/>
          <w:numId w:val="1"/>
        </w:numPr>
        <w:adjustRightInd w:val="0"/>
        <w:snapToGrid w:val="0"/>
        <w:spacing w:line="520" w:lineRule="exact"/>
        <w:ind w:left="0" w:firstLineChars="200" w:firstLine="480"/>
        <w:rPr>
          <w:rFonts w:ascii="宋体" w:hAnsi="宋体" w:cs="仿宋_GB2312"/>
          <w:color w:val="000000"/>
          <w:sz w:val="24"/>
          <w:szCs w:val="24"/>
        </w:rPr>
      </w:pPr>
      <w:r>
        <w:rPr>
          <w:rFonts w:ascii="宋体" w:hAnsi="宋体" w:cs="仿宋_GB2312" w:hint="eastAsia"/>
          <w:color w:val="000000"/>
          <w:sz w:val="24"/>
          <w:szCs w:val="24"/>
        </w:rPr>
        <w:t xml:space="preserve"> 本次权益变动属于增持，未触及要约收购。</w:t>
      </w:r>
    </w:p>
    <w:p w14:paraId="2504B772" w14:textId="77777777" w:rsidR="006352B2" w:rsidRDefault="0014139A">
      <w:pPr>
        <w:numPr>
          <w:ilvl w:val="1"/>
          <w:numId w:val="2"/>
        </w:numPr>
        <w:tabs>
          <w:tab w:val="clear" w:pos="1320"/>
        </w:tabs>
        <w:adjustRightInd w:val="0"/>
        <w:snapToGrid w:val="0"/>
        <w:spacing w:line="520" w:lineRule="exact"/>
        <w:ind w:left="0" w:firstLineChars="200" w:firstLine="480"/>
        <w:rPr>
          <w:rFonts w:ascii="宋体" w:hAnsi="宋体" w:cs="仿宋_GB2312"/>
          <w:color w:val="000000"/>
          <w:sz w:val="24"/>
          <w:szCs w:val="24"/>
        </w:rPr>
      </w:pPr>
      <w:r>
        <w:rPr>
          <w:rFonts w:ascii="宋体" w:hAnsi="宋体" w:cs="仿宋_GB2312" w:hint="eastAsia"/>
          <w:color w:val="000000"/>
          <w:sz w:val="24"/>
          <w:szCs w:val="24"/>
        </w:rPr>
        <w:t xml:space="preserve"> 本次权益变动不会导致公司控制权发生变化。 </w:t>
      </w:r>
    </w:p>
    <w:p w14:paraId="7586824D" w14:textId="20C3E0A4" w:rsidR="006352B2" w:rsidRDefault="0014139A" w:rsidP="002940CE">
      <w:pPr>
        <w:adjustRightInd w:val="0"/>
        <w:snapToGrid w:val="0"/>
        <w:spacing w:beforeLines="100" w:before="312" w:line="520" w:lineRule="atLeast"/>
        <w:ind w:firstLineChars="200" w:firstLine="480"/>
        <w:rPr>
          <w:rFonts w:ascii="Times New Roman" w:hAnsi="Times New Roman"/>
          <w:b/>
          <w:sz w:val="24"/>
          <w:szCs w:val="24"/>
        </w:rPr>
      </w:pPr>
      <w:r>
        <w:rPr>
          <w:rFonts w:ascii="Times New Roman" w:hAnsi="Times New Roman"/>
          <w:color w:val="000000"/>
          <w:sz w:val="24"/>
          <w:szCs w:val="24"/>
        </w:rPr>
        <w:t>2024</w:t>
      </w:r>
      <w:r>
        <w:rPr>
          <w:rFonts w:ascii="Times New Roman" w:hAnsi="Times New Roman"/>
          <w:color w:val="000000"/>
          <w:sz w:val="24"/>
          <w:szCs w:val="24"/>
        </w:rPr>
        <w:t>年</w:t>
      </w:r>
      <w:r>
        <w:rPr>
          <w:rFonts w:ascii="Times New Roman" w:hAnsi="Times New Roman" w:hint="eastAsia"/>
          <w:color w:val="000000"/>
          <w:sz w:val="24"/>
          <w:szCs w:val="24"/>
        </w:rPr>
        <w:t>8</w:t>
      </w:r>
      <w:r w:rsidRPr="009873A4">
        <w:rPr>
          <w:rFonts w:ascii="Times New Roman" w:hAnsi="Times New Roman"/>
          <w:color w:val="000000"/>
          <w:sz w:val="24"/>
          <w:szCs w:val="24"/>
        </w:rPr>
        <w:t>月</w:t>
      </w:r>
      <w:r w:rsidR="002940CE" w:rsidRPr="009873A4">
        <w:rPr>
          <w:rFonts w:ascii="Times New Roman" w:hAnsi="Times New Roman" w:hint="eastAsia"/>
          <w:color w:val="000000"/>
          <w:sz w:val="24"/>
          <w:szCs w:val="24"/>
        </w:rPr>
        <w:t>27</w:t>
      </w:r>
      <w:r w:rsidRPr="009873A4">
        <w:rPr>
          <w:rFonts w:ascii="Times New Roman" w:hAnsi="Times New Roman"/>
          <w:color w:val="000000"/>
          <w:sz w:val="24"/>
          <w:szCs w:val="24"/>
        </w:rPr>
        <w:t>日，郑州安图生物工程股份有限公司</w:t>
      </w:r>
      <w:r w:rsidRPr="009873A4">
        <w:rPr>
          <w:rFonts w:ascii="Times New Roman" w:hAnsi="Times New Roman" w:hint="eastAsia"/>
          <w:color w:val="000000"/>
          <w:sz w:val="24"/>
          <w:szCs w:val="24"/>
        </w:rPr>
        <w:t>（以下简称“公司”）收</w:t>
      </w:r>
      <w:r w:rsidRPr="009873A4">
        <w:rPr>
          <w:rFonts w:ascii="Times New Roman" w:hAnsi="Times New Roman"/>
          <w:color w:val="000000"/>
          <w:sz w:val="24"/>
          <w:szCs w:val="24"/>
        </w:rPr>
        <w:t>到</w:t>
      </w:r>
      <w:r w:rsidRPr="009873A4">
        <w:rPr>
          <w:rFonts w:ascii="Times New Roman" w:hAnsi="Times New Roman" w:hint="eastAsia"/>
          <w:color w:val="000000"/>
          <w:sz w:val="24"/>
          <w:szCs w:val="24"/>
        </w:rPr>
        <w:t>控股股东郑州安图实业集团股份有限公司（以下简称“安图实业”）通知，安图实业于</w:t>
      </w:r>
      <w:r w:rsidRPr="009873A4">
        <w:rPr>
          <w:rFonts w:ascii="Times New Roman" w:hAnsi="Times New Roman" w:hint="eastAsia"/>
          <w:color w:val="000000"/>
          <w:sz w:val="24"/>
          <w:szCs w:val="24"/>
        </w:rPr>
        <w:t>2024</w:t>
      </w:r>
      <w:r w:rsidRPr="009873A4">
        <w:rPr>
          <w:rFonts w:ascii="Times New Roman" w:hAnsi="Times New Roman" w:hint="eastAsia"/>
          <w:color w:val="000000"/>
          <w:sz w:val="24"/>
          <w:szCs w:val="24"/>
        </w:rPr>
        <w:t>年</w:t>
      </w:r>
      <w:r w:rsidRPr="009873A4">
        <w:rPr>
          <w:rFonts w:ascii="Times New Roman" w:hAnsi="Times New Roman" w:hint="eastAsia"/>
          <w:color w:val="000000"/>
          <w:sz w:val="24"/>
          <w:szCs w:val="24"/>
        </w:rPr>
        <w:t>8</w:t>
      </w:r>
      <w:r w:rsidRPr="009873A4">
        <w:rPr>
          <w:rFonts w:ascii="Times New Roman" w:hAnsi="Times New Roman" w:hint="eastAsia"/>
          <w:color w:val="000000"/>
          <w:sz w:val="24"/>
          <w:szCs w:val="24"/>
        </w:rPr>
        <w:t>月</w:t>
      </w:r>
      <w:r w:rsidRPr="009873A4">
        <w:rPr>
          <w:rFonts w:ascii="Times New Roman" w:hAnsi="Times New Roman" w:hint="eastAsia"/>
          <w:color w:val="000000"/>
          <w:sz w:val="24"/>
          <w:szCs w:val="24"/>
        </w:rPr>
        <w:t>21</w:t>
      </w:r>
      <w:r w:rsidRPr="009873A4">
        <w:rPr>
          <w:rFonts w:ascii="Times New Roman" w:hAnsi="Times New Roman" w:hint="eastAsia"/>
          <w:color w:val="000000"/>
          <w:sz w:val="24"/>
          <w:szCs w:val="24"/>
        </w:rPr>
        <w:t>日至</w:t>
      </w:r>
      <w:r w:rsidRPr="009873A4">
        <w:rPr>
          <w:rFonts w:ascii="Times New Roman" w:hAnsi="Times New Roman" w:hint="eastAsia"/>
          <w:color w:val="000000"/>
          <w:sz w:val="24"/>
          <w:szCs w:val="24"/>
        </w:rPr>
        <w:t>2024</w:t>
      </w:r>
      <w:r w:rsidRPr="009873A4">
        <w:rPr>
          <w:rFonts w:ascii="Times New Roman" w:hAnsi="Times New Roman" w:hint="eastAsia"/>
          <w:color w:val="000000"/>
          <w:sz w:val="24"/>
          <w:szCs w:val="24"/>
        </w:rPr>
        <w:t>年</w:t>
      </w:r>
      <w:r w:rsidR="002940CE" w:rsidRPr="009873A4">
        <w:rPr>
          <w:rFonts w:ascii="Times New Roman" w:hAnsi="Times New Roman" w:hint="eastAsia"/>
          <w:color w:val="000000"/>
          <w:sz w:val="24"/>
          <w:szCs w:val="24"/>
        </w:rPr>
        <w:t>8</w:t>
      </w:r>
      <w:r w:rsidRPr="009873A4">
        <w:rPr>
          <w:rFonts w:ascii="Times New Roman" w:hAnsi="Times New Roman" w:hint="eastAsia"/>
          <w:color w:val="000000"/>
          <w:sz w:val="24"/>
          <w:szCs w:val="24"/>
        </w:rPr>
        <w:t>月</w:t>
      </w:r>
      <w:r w:rsidR="002940CE" w:rsidRPr="009873A4">
        <w:rPr>
          <w:rFonts w:ascii="Times New Roman" w:hAnsi="Times New Roman" w:hint="eastAsia"/>
          <w:color w:val="000000"/>
          <w:sz w:val="24"/>
          <w:szCs w:val="24"/>
        </w:rPr>
        <w:t>27</w:t>
      </w:r>
      <w:r w:rsidRPr="009873A4">
        <w:rPr>
          <w:rFonts w:ascii="Times New Roman" w:hAnsi="Times New Roman" w:hint="eastAsia"/>
          <w:color w:val="000000"/>
          <w:sz w:val="24"/>
          <w:szCs w:val="24"/>
        </w:rPr>
        <w:t>日通过上海证券交易所交易系统增持公司股份</w:t>
      </w:r>
      <w:r w:rsidR="002940CE" w:rsidRPr="009873A4">
        <w:rPr>
          <w:rFonts w:ascii="Times New Roman" w:hAnsi="Times New Roman" w:hint="eastAsia"/>
          <w:color w:val="000000"/>
          <w:sz w:val="24"/>
          <w:szCs w:val="24"/>
        </w:rPr>
        <w:t>3</w:t>
      </w:r>
      <w:r w:rsidR="002940CE" w:rsidRPr="009873A4">
        <w:rPr>
          <w:rFonts w:ascii="Times New Roman" w:hAnsi="Times New Roman" w:hint="eastAsia"/>
          <w:color w:val="000000"/>
          <w:kern w:val="0"/>
          <w:szCs w:val="21"/>
        </w:rPr>
        <w:t>,</w:t>
      </w:r>
      <w:r w:rsidR="002940CE" w:rsidRPr="009873A4">
        <w:rPr>
          <w:rFonts w:ascii="Times New Roman" w:hAnsi="Times New Roman" w:hint="eastAsia"/>
          <w:color w:val="000000"/>
          <w:sz w:val="24"/>
          <w:szCs w:val="24"/>
        </w:rPr>
        <w:t>025</w:t>
      </w:r>
      <w:r w:rsidR="002940CE" w:rsidRPr="009873A4">
        <w:rPr>
          <w:rFonts w:ascii="Times New Roman" w:hAnsi="Times New Roman" w:hint="eastAsia"/>
          <w:color w:val="000000"/>
          <w:kern w:val="0"/>
          <w:szCs w:val="21"/>
        </w:rPr>
        <w:t>,</w:t>
      </w:r>
      <w:r w:rsidR="002940CE" w:rsidRPr="009873A4">
        <w:rPr>
          <w:rFonts w:ascii="Times New Roman" w:hAnsi="Times New Roman" w:hint="eastAsia"/>
          <w:color w:val="000000"/>
          <w:sz w:val="24"/>
          <w:szCs w:val="24"/>
        </w:rPr>
        <w:t>500</w:t>
      </w:r>
      <w:r w:rsidRPr="009873A4">
        <w:rPr>
          <w:rFonts w:ascii="Times New Roman" w:hAnsi="Times New Roman" w:hint="eastAsia"/>
          <w:color w:val="000000"/>
          <w:sz w:val="24"/>
          <w:szCs w:val="24"/>
        </w:rPr>
        <w:t>股，结合公司于</w:t>
      </w:r>
      <w:r w:rsidRPr="009873A4">
        <w:rPr>
          <w:rFonts w:ascii="Times New Roman" w:hAnsi="Times New Roman" w:hint="eastAsia"/>
          <w:color w:val="000000"/>
          <w:sz w:val="24"/>
          <w:szCs w:val="24"/>
        </w:rPr>
        <w:t>2024</w:t>
      </w:r>
      <w:r w:rsidRPr="009873A4">
        <w:rPr>
          <w:rFonts w:ascii="Times New Roman" w:hAnsi="Times New Roman" w:hint="eastAsia"/>
          <w:color w:val="000000"/>
          <w:sz w:val="24"/>
          <w:szCs w:val="24"/>
        </w:rPr>
        <w:t>年</w:t>
      </w:r>
      <w:r w:rsidRPr="009873A4">
        <w:rPr>
          <w:rFonts w:ascii="Times New Roman" w:hAnsi="Times New Roman" w:hint="eastAsia"/>
          <w:color w:val="000000"/>
          <w:sz w:val="24"/>
          <w:szCs w:val="24"/>
        </w:rPr>
        <w:t>7</w:t>
      </w:r>
      <w:r w:rsidRPr="009873A4">
        <w:rPr>
          <w:rFonts w:ascii="Times New Roman" w:hAnsi="Times New Roman" w:hint="eastAsia"/>
          <w:color w:val="000000"/>
          <w:sz w:val="24"/>
          <w:szCs w:val="24"/>
        </w:rPr>
        <w:t>月</w:t>
      </w:r>
      <w:proofErr w:type="gramStart"/>
      <w:r w:rsidRPr="009873A4">
        <w:rPr>
          <w:rFonts w:ascii="Times New Roman" w:hAnsi="Times New Roman" w:hint="eastAsia"/>
          <w:color w:val="000000"/>
          <w:sz w:val="24"/>
          <w:szCs w:val="24"/>
        </w:rPr>
        <w:t>注销</w:t>
      </w:r>
      <w:r>
        <w:rPr>
          <w:rFonts w:ascii="Times New Roman" w:hAnsi="Times New Roman" w:hint="eastAsia"/>
          <w:color w:val="000000"/>
          <w:sz w:val="24"/>
          <w:szCs w:val="24"/>
        </w:rPr>
        <w:t>回</w:t>
      </w:r>
      <w:proofErr w:type="gramEnd"/>
      <w:r>
        <w:rPr>
          <w:rFonts w:ascii="Times New Roman" w:hAnsi="Times New Roman" w:hint="eastAsia"/>
          <w:color w:val="000000"/>
          <w:sz w:val="24"/>
          <w:szCs w:val="24"/>
        </w:rPr>
        <w:t>购股份导致股东持股比例被动增加的情形，安图实业持有公司股份的比例累计</w:t>
      </w:r>
      <w:proofErr w:type="gramStart"/>
      <w:r>
        <w:rPr>
          <w:rFonts w:ascii="Times New Roman" w:hAnsi="Times New Roman" w:hint="eastAsia"/>
          <w:color w:val="000000"/>
          <w:sz w:val="24"/>
          <w:szCs w:val="24"/>
        </w:rPr>
        <w:t>变动达</w:t>
      </w:r>
      <w:proofErr w:type="gramEnd"/>
      <w:r>
        <w:rPr>
          <w:rFonts w:ascii="Times New Roman" w:hAnsi="Times New Roman" w:hint="eastAsia"/>
          <w:color w:val="000000"/>
          <w:sz w:val="24"/>
          <w:szCs w:val="24"/>
        </w:rPr>
        <w:t>1</w:t>
      </w:r>
      <w:r w:rsidR="00FC6B0A">
        <w:rPr>
          <w:rFonts w:ascii="Times New Roman" w:hAnsi="Times New Roman" w:hint="eastAsia"/>
          <w:color w:val="000000"/>
          <w:sz w:val="24"/>
          <w:szCs w:val="24"/>
        </w:rPr>
        <w:t>.02</w:t>
      </w:r>
      <w:r>
        <w:rPr>
          <w:rFonts w:ascii="Times New Roman" w:hAnsi="Times New Roman" w:hint="eastAsia"/>
          <w:color w:val="000000"/>
          <w:sz w:val="24"/>
          <w:szCs w:val="24"/>
        </w:rPr>
        <w:t>%</w:t>
      </w:r>
      <w:r>
        <w:rPr>
          <w:rFonts w:ascii="Times New Roman" w:hAnsi="Times New Roman" w:hint="eastAsia"/>
          <w:color w:val="000000"/>
          <w:sz w:val="24"/>
          <w:szCs w:val="24"/>
        </w:rPr>
        <w:t>。现将控股股东安图实业本次权益变动相关情况公告如下：</w:t>
      </w:r>
    </w:p>
    <w:p w14:paraId="1F221755" w14:textId="77777777" w:rsidR="006352B2" w:rsidRDefault="0014139A" w:rsidP="002940CE">
      <w:pPr>
        <w:numPr>
          <w:ilvl w:val="0"/>
          <w:numId w:val="3"/>
        </w:numPr>
        <w:autoSpaceDE w:val="0"/>
        <w:autoSpaceDN w:val="0"/>
        <w:adjustRightInd w:val="0"/>
        <w:snapToGrid w:val="0"/>
        <w:spacing w:beforeLines="50" w:before="156" w:line="520" w:lineRule="atLeast"/>
        <w:ind w:firstLineChars="200" w:firstLine="482"/>
        <w:outlineLvl w:val="0"/>
        <w:rPr>
          <w:rFonts w:ascii="Times New Roman" w:hAnsi="Times New Roman"/>
          <w:b/>
          <w:sz w:val="24"/>
          <w:szCs w:val="24"/>
        </w:rPr>
      </w:pPr>
      <w:r>
        <w:rPr>
          <w:rFonts w:ascii="Times New Roman" w:hAnsi="Times New Roman" w:hint="eastAsia"/>
          <w:b/>
          <w:sz w:val="24"/>
          <w:szCs w:val="24"/>
        </w:rPr>
        <w:t>本次权益变动情况</w:t>
      </w:r>
    </w:p>
    <w:p w14:paraId="21068CEA" w14:textId="77777777" w:rsidR="006352B2" w:rsidRDefault="0014139A" w:rsidP="002940CE">
      <w:pPr>
        <w:adjustRightInd w:val="0"/>
        <w:snapToGrid w:val="0"/>
        <w:spacing w:afterLines="50" w:after="156" w:line="52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rPr>
        <w:t>（一）信息披露义务人及其权益变动明细</w:t>
      </w:r>
    </w:p>
    <w:tbl>
      <w:tblPr>
        <w:tblStyle w:val="a6"/>
        <w:tblW w:w="0" w:type="auto"/>
        <w:tblLook w:val="04A0" w:firstRow="1" w:lastRow="0" w:firstColumn="1" w:lastColumn="0" w:noHBand="0" w:noVBand="1"/>
      </w:tblPr>
      <w:tblGrid>
        <w:gridCol w:w="1161"/>
        <w:gridCol w:w="1566"/>
        <w:gridCol w:w="1890"/>
        <w:gridCol w:w="2835"/>
        <w:gridCol w:w="1070"/>
      </w:tblGrid>
      <w:tr w:rsidR="006352B2" w14:paraId="72FE850D" w14:textId="77777777">
        <w:trPr>
          <w:trHeight w:hRule="exact" w:val="567"/>
        </w:trPr>
        <w:tc>
          <w:tcPr>
            <w:tcW w:w="1161" w:type="dxa"/>
            <w:vMerge w:val="restart"/>
            <w:vAlign w:val="center"/>
          </w:tcPr>
          <w:p w14:paraId="6F5AB2EF" w14:textId="77777777" w:rsidR="006352B2" w:rsidRDefault="0014139A">
            <w:pPr>
              <w:adjustRightInd w:val="0"/>
              <w:snapToGrid w:val="0"/>
              <w:jc w:val="center"/>
              <w:rPr>
                <w:rFonts w:ascii="Times New Roman" w:hAnsi="Times New Roman"/>
                <w:color w:val="000000"/>
                <w:szCs w:val="21"/>
              </w:rPr>
            </w:pPr>
            <w:r>
              <w:rPr>
                <w:rFonts w:ascii="Times New Roman" w:hAnsi="Times New Roman"/>
                <w:color w:val="000000"/>
                <w:szCs w:val="21"/>
              </w:rPr>
              <w:t>信息披露义务人基本信息</w:t>
            </w:r>
          </w:p>
        </w:tc>
        <w:tc>
          <w:tcPr>
            <w:tcW w:w="1566" w:type="dxa"/>
            <w:vAlign w:val="center"/>
          </w:tcPr>
          <w:p w14:paraId="1EF3171E" w14:textId="77777777" w:rsidR="006352B2" w:rsidRDefault="0014139A">
            <w:pPr>
              <w:adjustRightInd w:val="0"/>
              <w:snapToGrid w:val="0"/>
              <w:jc w:val="center"/>
              <w:rPr>
                <w:rFonts w:ascii="Times New Roman" w:hAnsi="Times New Roman"/>
                <w:color w:val="000000"/>
                <w:szCs w:val="21"/>
              </w:rPr>
            </w:pPr>
            <w:r>
              <w:rPr>
                <w:rFonts w:ascii="Times New Roman" w:hAnsi="Times New Roman" w:hint="eastAsia"/>
                <w:color w:val="000000"/>
                <w:szCs w:val="21"/>
              </w:rPr>
              <w:t>名称</w:t>
            </w:r>
          </w:p>
        </w:tc>
        <w:tc>
          <w:tcPr>
            <w:tcW w:w="5795" w:type="dxa"/>
            <w:gridSpan w:val="3"/>
            <w:vAlign w:val="center"/>
          </w:tcPr>
          <w:p w14:paraId="25775C00" w14:textId="77777777" w:rsidR="006352B2" w:rsidRDefault="0014139A">
            <w:pPr>
              <w:adjustRightInd w:val="0"/>
              <w:snapToGrid w:val="0"/>
              <w:jc w:val="center"/>
              <w:rPr>
                <w:rFonts w:ascii="Times New Roman" w:hAnsi="Times New Roman"/>
                <w:color w:val="000000"/>
                <w:szCs w:val="21"/>
              </w:rPr>
            </w:pPr>
            <w:r>
              <w:rPr>
                <w:rFonts w:ascii="Times New Roman" w:hAnsi="Times New Roman" w:hint="eastAsia"/>
                <w:color w:val="000000"/>
                <w:szCs w:val="21"/>
              </w:rPr>
              <w:t>郑州安图实业集团股份有限公司</w:t>
            </w:r>
          </w:p>
        </w:tc>
      </w:tr>
      <w:tr w:rsidR="006352B2" w14:paraId="3F21953D" w14:textId="77777777">
        <w:trPr>
          <w:trHeight w:hRule="exact" w:val="567"/>
        </w:trPr>
        <w:tc>
          <w:tcPr>
            <w:tcW w:w="1161" w:type="dxa"/>
            <w:vMerge/>
            <w:vAlign w:val="center"/>
          </w:tcPr>
          <w:p w14:paraId="03624CDA" w14:textId="77777777" w:rsidR="006352B2" w:rsidRDefault="006352B2">
            <w:pPr>
              <w:adjustRightInd w:val="0"/>
              <w:snapToGrid w:val="0"/>
              <w:jc w:val="center"/>
              <w:rPr>
                <w:rFonts w:ascii="Times New Roman" w:hAnsi="Times New Roman"/>
                <w:color w:val="000000"/>
                <w:szCs w:val="21"/>
              </w:rPr>
            </w:pPr>
          </w:p>
        </w:tc>
        <w:tc>
          <w:tcPr>
            <w:tcW w:w="1566" w:type="dxa"/>
            <w:vAlign w:val="center"/>
          </w:tcPr>
          <w:p w14:paraId="41749622" w14:textId="77777777" w:rsidR="006352B2" w:rsidRDefault="0014139A">
            <w:pPr>
              <w:adjustRightInd w:val="0"/>
              <w:snapToGrid w:val="0"/>
              <w:jc w:val="center"/>
              <w:rPr>
                <w:rFonts w:ascii="Times New Roman" w:hAnsi="Times New Roman"/>
                <w:color w:val="000000"/>
                <w:szCs w:val="21"/>
              </w:rPr>
            </w:pPr>
            <w:r>
              <w:rPr>
                <w:rFonts w:ascii="Times New Roman" w:hAnsi="Times New Roman" w:hint="eastAsia"/>
                <w:color w:val="000000"/>
                <w:szCs w:val="21"/>
              </w:rPr>
              <w:t>住所</w:t>
            </w:r>
          </w:p>
        </w:tc>
        <w:tc>
          <w:tcPr>
            <w:tcW w:w="5795" w:type="dxa"/>
            <w:gridSpan w:val="3"/>
            <w:vAlign w:val="center"/>
          </w:tcPr>
          <w:p w14:paraId="378AFD1B" w14:textId="77777777" w:rsidR="006352B2" w:rsidRDefault="0014139A">
            <w:pPr>
              <w:adjustRightInd w:val="0"/>
              <w:snapToGrid w:val="0"/>
              <w:jc w:val="center"/>
              <w:rPr>
                <w:rFonts w:ascii="Times New Roman" w:hAnsi="Times New Roman"/>
                <w:color w:val="000000"/>
                <w:szCs w:val="21"/>
              </w:rPr>
            </w:pPr>
            <w:r>
              <w:rPr>
                <w:rFonts w:ascii="Times New Roman" w:hAnsi="Times New Roman"/>
                <w:color w:val="000000"/>
                <w:szCs w:val="21"/>
              </w:rPr>
              <w:t>河南自贸试验区郑州片区（经开）经北一路</w:t>
            </w:r>
            <w:r>
              <w:rPr>
                <w:rFonts w:ascii="Times New Roman" w:hAnsi="Times New Roman"/>
                <w:color w:val="000000"/>
                <w:szCs w:val="21"/>
              </w:rPr>
              <w:t>126</w:t>
            </w:r>
            <w:r>
              <w:rPr>
                <w:rFonts w:ascii="Times New Roman" w:hAnsi="Times New Roman"/>
                <w:color w:val="000000"/>
                <w:szCs w:val="21"/>
              </w:rPr>
              <w:t>号</w:t>
            </w:r>
          </w:p>
        </w:tc>
      </w:tr>
      <w:tr w:rsidR="006352B2" w14:paraId="6948FA2D" w14:textId="77777777">
        <w:trPr>
          <w:trHeight w:hRule="exact" w:val="567"/>
        </w:trPr>
        <w:tc>
          <w:tcPr>
            <w:tcW w:w="1161" w:type="dxa"/>
            <w:vMerge/>
            <w:vAlign w:val="center"/>
          </w:tcPr>
          <w:p w14:paraId="38FAF04B" w14:textId="77777777" w:rsidR="006352B2" w:rsidRDefault="006352B2">
            <w:pPr>
              <w:adjustRightInd w:val="0"/>
              <w:snapToGrid w:val="0"/>
              <w:jc w:val="center"/>
              <w:rPr>
                <w:rFonts w:ascii="Times New Roman" w:hAnsi="Times New Roman"/>
                <w:color w:val="000000"/>
                <w:szCs w:val="21"/>
              </w:rPr>
            </w:pPr>
          </w:p>
        </w:tc>
        <w:tc>
          <w:tcPr>
            <w:tcW w:w="1566" w:type="dxa"/>
            <w:vAlign w:val="center"/>
          </w:tcPr>
          <w:p w14:paraId="7113637A" w14:textId="77777777" w:rsidR="006352B2" w:rsidRDefault="0014139A">
            <w:pPr>
              <w:adjustRightInd w:val="0"/>
              <w:snapToGrid w:val="0"/>
              <w:jc w:val="center"/>
              <w:rPr>
                <w:rFonts w:ascii="Times New Roman" w:hAnsi="Times New Roman"/>
                <w:color w:val="000000"/>
                <w:szCs w:val="21"/>
              </w:rPr>
            </w:pPr>
            <w:r>
              <w:rPr>
                <w:rFonts w:ascii="Times New Roman" w:hAnsi="Times New Roman" w:hint="eastAsia"/>
                <w:color w:val="000000"/>
                <w:szCs w:val="21"/>
              </w:rPr>
              <w:t>权益变动时间</w:t>
            </w:r>
          </w:p>
        </w:tc>
        <w:tc>
          <w:tcPr>
            <w:tcW w:w="5795" w:type="dxa"/>
            <w:gridSpan w:val="3"/>
            <w:vAlign w:val="center"/>
          </w:tcPr>
          <w:p w14:paraId="59621AC4" w14:textId="36074D29" w:rsidR="006352B2" w:rsidRDefault="0014139A" w:rsidP="002940CE">
            <w:pPr>
              <w:adjustRightInd w:val="0"/>
              <w:snapToGrid w:val="0"/>
              <w:jc w:val="center"/>
              <w:rPr>
                <w:rFonts w:ascii="Times New Roman" w:hAnsi="Times New Roman"/>
                <w:color w:val="000000"/>
                <w:szCs w:val="21"/>
              </w:rPr>
            </w:pPr>
            <w:r>
              <w:rPr>
                <w:rFonts w:ascii="Times New Roman" w:hAnsi="Times New Roman" w:hint="eastAsia"/>
                <w:color w:val="000000"/>
                <w:szCs w:val="21"/>
              </w:rPr>
              <w:t>2024</w:t>
            </w:r>
            <w:r>
              <w:rPr>
                <w:rFonts w:ascii="Times New Roman" w:hAnsi="Times New Roman" w:hint="eastAsia"/>
                <w:color w:val="000000"/>
                <w:szCs w:val="21"/>
              </w:rPr>
              <w:t>年</w:t>
            </w:r>
            <w:r>
              <w:rPr>
                <w:rFonts w:ascii="Times New Roman" w:hAnsi="Times New Roman" w:hint="eastAsia"/>
                <w:color w:val="000000"/>
                <w:szCs w:val="21"/>
              </w:rPr>
              <w:t>7</w:t>
            </w:r>
            <w:r>
              <w:rPr>
                <w:rFonts w:ascii="Times New Roman" w:hAnsi="Times New Roman" w:hint="eastAsia"/>
                <w:color w:val="000000"/>
                <w:szCs w:val="21"/>
              </w:rPr>
              <w:t>月</w:t>
            </w:r>
            <w:r>
              <w:rPr>
                <w:rFonts w:ascii="Times New Roman" w:hAnsi="Times New Roman" w:hint="eastAsia"/>
                <w:color w:val="000000"/>
                <w:szCs w:val="21"/>
              </w:rPr>
              <w:t>2</w:t>
            </w:r>
            <w:r>
              <w:rPr>
                <w:rFonts w:ascii="Times New Roman" w:hAnsi="Times New Roman" w:hint="eastAsia"/>
                <w:color w:val="000000"/>
                <w:szCs w:val="21"/>
              </w:rPr>
              <w:t>日至</w:t>
            </w:r>
            <w:r w:rsidRPr="009873A4">
              <w:rPr>
                <w:rFonts w:ascii="Times New Roman" w:hAnsi="Times New Roman" w:hint="eastAsia"/>
                <w:color w:val="000000"/>
                <w:szCs w:val="21"/>
              </w:rPr>
              <w:t>2024</w:t>
            </w:r>
            <w:r w:rsidRPr="009873A4">
              <w:rPr>
                <w:rFonts w:ascii="Times New Roman" w:hAnsi="Times New Roman" w:hint="eastAsia"/>
                <w:color w:val="000000"/>
                <w:szCs w:val="21"/>
              </w:rPr>
              <w:t>年</w:t>
            </w:r>
            <w:r w:rsidR="002940CE" w:rsidRPr="009873A4">
              <w:rPr>
                <w:rFonts w:ascii="Times New Roman" w:hAnsi="Times New Roman" w:hint="eastAsia"/>
                <w:color w:val="000000"/>
                <w:szCs w:val="21"/>
              </w:rPr>
              <w:t>8</w:t>
            </w:r>
            <w:r w:rsidRPr="009873A4">
              <w:rPr>
                <w:rFonts w:ascii="Times New Roman" w:hAnsi="Times New Roman" w:hint="eastAsia"/>
                <w:color w:val="000000"/>
                <w:szCs w:val="21"/>
              </w:rPr>
              <w:t>月</w:t>
            </w:r>
            <w:r w:rsidR="002940CE" w:rsidRPr="009873A4">
              <w:rPr>
                <w:rFonts w:ascii="Times New Roman" w:hAnsi="Times New Roman" w:hint="eastAsia"/>
                <w:color w:val="000000"/>
                <w:szCs w:val="21"/>
              </w:rPr>
              <w:t>27</w:t>
            </w:r>
            <w:r w:rsidRPr="009873A4">
              <w:rPr>
                <w:rFonts w:ascii="Times New Roman" w:hAnsi="Times New Roman" w:hint="eastAsia"/>
                <w:color w:val="000000"/>
                <w:szCs w:val="21"/>
              </w:rPr>
              <w:t>日</w:t>
            </w:r>
          </w:p>
        </w:tc>
      </w:tr>
      <w:tr w:rsidR="006352B2" w14:paraId="2C002AD5" w14:textId="77777777">
        <w:trPr>
          <w:trHeight w:hRule="exact" w:val="567"/>
        </w:trPr>
        <w:tc>
          <w:tcPr>
            <w:tcW w:w="1161" w:type="dxa"/>
            <w:vMerge w:val="restart"/>
            <w:vAlign w:val="center"/>
          </w:tcPr>
          <w:p w14:paraId="339E33B2" w14:textId="77777777" w:rsidR="006352B2" w:rsidRDefault="0014139A">
            <w:pPr>
              <w:adjustRightInd w:val="0"/>
              <w:snapToGrid w:val="0"/>
              <w:jc w:val="center"/>
              <w:rPr>
                <w:rFonts w:ascii="Times New Roman" w:hAnsi="Times New Roman"/>
                <w:color w:val="000000"/>
                <w:szCs w:val="21"/>
              </w:rPr>
            </w:pPr>
            <w:r>
              <w:rPr>
                <w:rFonts w:ascii="Times New Roman" w:hAnsi="Times New Roman" w:hint="eastAsia"/>
                <w:color w:val="000000"/>
                <w:szCs w:val="21"/>
              </w:rPr>
              <w:t>权益变动明细</w:t>
            </w:r>
          </w:p>
        </w:tc>
        <w:tc>
          <w:tcPr>
            <w:tcW w:w="1566" w:type="dxa"/>
            <w:vAlign w:val="center"/>
          </w:tcPr>
          <w:p w14:paraId="7558C8F2" w14:textId="77777777" w:rsidR="006352B2" w:rsidRDefault="0014139A">
            <w:pPr>
              <w:adjustRightInd w:val="0"/>
              <w:snapToGrid w:val="0"/>
              <w:jc w:val="center"/>
              <w:rPr>
                <w:rFonts w:ascii="Times New Roman" w:hAnsi="Times New Roman"/>
                <w:color w:val="000000"/>
                <w:szCs w:val="21"/>
              </w:rPr>
            </w:pPr>
            <w:r>
              <w:rPr>
                <w:rFonts w:ascii="Times New Roman" w:hAnsi="Times New Roman" w:hint="eastAsia"/>
                <w:color w:val="000000"/>
                <w:szCs w:val="21"/>
              </w:rPr>
              <w:t>变动方式</w:t>
            </w:r>
          </w:p>
        </w:tc>
        <w:tc>
          <w:tcPr>
            <w:tcW w:w="1890" w:type="dxa"/>
            <w:vAlign w:val="center"/>
          </w:tcPr>
          <w:p w14:paraId="6FDE7881" w14:textId="77777777" w:rsidR="006352B2" w:rsidRDefault="0014139A">
            <w:pPr>
              <w:adjustRightInd w:val="0"/>
              <w:snapToGrid w:val="0"/>
              <w:jc w:val="center"/>
              <w:rPr>
                <w:rFonts w:ascii="Times New Roman" w:hAnsi="Times New Roman"/>
                <w:color w:val="000000"/>
                <w:szCs w:val="21"/>
              </w:rPr>
            </w:pPr>
            <w:r>
              <w:rPr>
                <w:rFonts w:ascii="Times New Roman" w:hAnsi="Times New Roman" w:hint="eastAsia"/>
                <w:color w:val="000000"/>
                <w:szCs w:val="21"/>
              </w:rPr>
              <w:t>变动日期</w:t>
            </w:r>
          </w:p>
        </w:tc>
        <w:tc>
          <w:tcPr>
            <w:tcW w:w="2835" w:type="dxa"/>
            <w:vAlign w:val="center"/>
          </w:tcPr>
          <w:p w14:paraId="5D858BFF" w14:textId="77777777" w:rsidR="006352B2" w:rsidRDefault="0014139A">
            <w:pPr>
              <w:adjustRightInd w:val="0"/>
              <w:snapToGrid w:val="0"/>
              <w:jc w:val="center"/>
              <w:rPr>
                <w:rFonts w:ascii="Times New Roman" w:hAnsi="Times New Roman"/>
                <w:color w:val="000000"/>
                <w:szCs w:val="21"/>
              </w:rPr>
            </w:pPr>
            <w:r>
              <w:rPr>
                <w:rFonts w:ascii="Times New Roman" w:hAnsi="Times New Roman" w:hint="eastAsia"/>
                <w:color w:val="000000"/>
                <w:szCs w:val="21"/>
              </w:rPr>
              <w:t>变动股数</w:t>
            </w:r>
          </w:p>
        </w:tc>
        <w:tc>
          <w:tcPr>
            <w:tcW w:w="1070" w:type="dxa"/>
            <w:vAlign w:val="center"/>
          </w:tcPr>
          <w:p w14:paraId="470631ED" w14:textId="77777777" w:rsidR="006352B2" w:rsidRDefault="0014139A">
            <w:pPr>
              <w:adjustRightInd w:val="0"/>
              <w:snapToGrid w:val="0"/>
              <w:jc w:val="center"/>
              <w:rPr>
                <w:rFonts w:ascii="Times New Roman" w:hAnsi="Times New Roman"/>
                <w:color w:val="000000"/>
                <w:szCs w:val="21"/>
              </w:rPr>
            </w:pPr>
            <w:r>
              <w:rPr>
                <w:rFonts w:ascii="Times New Roman" w:hAnsi="Times New Roman" w:hint="eastAsia"/>
                <w:color w:val="000000"/>
                <w:szCs w:val="21"/>
              </w:rPr>
              <w:t>变动比例</w:t>
            </w:r>
          </w:p>
        </w:tc>
      </w:tr>
      <w:tr w:rsidR="006352B2" w14:paraId="37E89199" w14:textId="77777777">
        <w:trPr>
          <w:trHeight w:hRule="exact" w:val="1637"/>
        </w:trPr>
        <w:tc>
          <w:tcPr>
            <w:tcW w:w="1161" w:type="dxa"/>
            <w:vMerge/>
            <w:vAlign w:val="center"/>
          </w:tcPr>
          <w:p w14:paraId="45BC22A4" w14:textId="77777777" w:rsidR="006352B2" w:rsidRDefault="006352B2">
            <w:pPr>
              <w:adjustRightInd w:val="0"/>
              <w:snapToGrid w:val="0"/>
              <w:jc w:val="left"/>
              <w:rPr>
                <w:rFonts w:ascii="Times New Roman" w:hAnsi="Times New Roman"/>
                <w:color w:val="000000"/>
                <w:szCs w:val="21"/>
              </w:rPr>
            </w:pPr>
          </w:p>
        </w:tc>
        <w:tc>
          <w:tcPr>
            <w:tcW w:w="1566" w:type="dxa"/>
            <w:vAlign w:val="center"/>
          </w:tcPr>
          <w:p w14:paraId="28A56DA0" w14:textId="77777777" w:rsidR="006352B2" w:rsidRDefault="0014139A">
            <w:pPr>
              <w:adjustRightInd w:val="0"/>
              <w:snapToGrid w:val="0"/>
              <w:jc w:val="center"/>
              <w:rPr>
                <w:rFonts w:ascii="Times New Roman" w:hAnsi="Times New Roman"/>
                <w:color w:val="000000"/>
                <w:szCs w:val="21"/>
              </w:rPr>
            </w:pPr>
            <w:r>
              <w:rPr>
                <w:rFonts w:ascii="Times New Roman" w:hAnsi="Times New Roman" w:hint="eastAsia"/>
                <w:color w:val="000000"/>
                <w:szCs w:val="21"/>
              </w:rPr>
              <w:t>被动增加</w:t>
            </w:r>
          </w:p>
        </w:tc>
        <w:tc>
          <w:tcPr>
            <w:tcW w:w="1890" w:type="dxa"/>
            <w:vAlign w:val="center"/>
          </w:tcPr>
          <w:p w14:paraId="61813909" w14:textId="77777777" w:rsidR="006352B2" w:rsidRDefault="0014139A">
            <w:pPr>
              <w:adjustRightInd w:val="0"/>
              <w:snapToGrid w:val="0"/>
              <w:jc w:val="center"/>
              <w:rPr>
                <w:rFonts w:ascii="Times New Roman" w:hAnsi="Times New Roman"/>
                <w:color w:val="000000"/>
                <w:szCs w:val="21"/>
              </w:rPr>
            </w:pPr>
            <w:r>
              <w:rPr>
                <w:rFonts w:ascii="Times New Roman" w:hAnsi="Times New Roman" w:hint="eastAsia"/>
                <w:color w:val="000000"/>
                <w:szCs w:val="21"/>
              </w:rPr>
              <w:t>2024</w:t>
            </w:r>
            <w:r>
              <w:rPr>
                <w:rFonts w:ascii="Times New Roman" w:hAnsi="Times New Roman" w:hint="eastAsia"/>
                <w:color w:val="000000"/>
                <w:szCs w:val="21"/>
              </w:rPr>
              <w:t>年</w:t>
            </w:r>
            <w:r>
              <w:rPr>
                <w:rFonts w:ascii="Times New Roman" w:hAnsi="Times New Roman" w:hint="eastAsia"/>
                <w:color w:val="000000"/>
                <w:szCs w:val="21"/>
              </w:rPr>
              <w:t>7</w:t>
            </w:r>
            <w:r>
              <w:rPr>
                <w:rFonts w:ascii="Times New Roman" w:hAnsi="Times New Roman" w:hint="eastAsia"/>
                <w:color w:val="000000"/>
                <w:szCs w:val="21"/>
              </w:rPr>
              <w:t>月</w:t>
            </w:r>
            <w:r>
              <w:rPr>
                <w:rFonts w:ascii="Times New Roman" w:hAnsi="Times New Roman" w:hint="eastAsia"/>
                <w:color w:val="000000"/>
                <w:szCs w:val="21"/>
              </w:rPr>
              <w:t>2</w:t>
            </w:r>
            <w:r>
              <w:rPr>
                <w:rFonts w:ascii="Times New Roman" w:hAnsi="Times New Roman" w:hint="eastAsia"/>
                <w:color w:val="000000"/>
                <w:szCs w:val="21"/>
              </w:rPr>
              <w:t>日</w:t>
            </w:r>
          </w:p>
        </w:tc>
        <w:tc>
          <w:tcPr>
            <w:tcW w:w="2835" w:type="dxa"/>
            <w:vAlign w:val="center"/>
          </w:tcPr>
          <w:p w14:paraId="494FF25E" w14:textId="77777777" w:rsidR="006352B2" w:rsidRDefault="0014139A">
            <w:pPr>
              <w:adjustRightInd w:val="0"/>
              <w:snapToGrid w:val="0"/>
              <w:spacing w:line="400" w:lineRule="exact"/>
              <w:jc w:val="left"/>
              <w:rPr>
                <w:rFonts w:ascii="Times New Roman" w:hAnsi="Times New Roman"/>
                <w:color w:val="000000"/>
                <w:szCs w:val="21"/>
              </w:rPr>
            </w:pPr>
            <w:r>
              <w:rPr>
                <w:rFonts w:ascii="Times New Roman" w:hAnsi="Times New Roman"/>
                <w:color w:val="000000"/>
                <w:szCs w:val="21"/>
              </w:rPr>
              <w:t>公司注销</w:t>
            </w:r>
            <w:r>
              <w:rPr>
                <w:rFonts w:ascii="Times New Roman" w:hAnsi="Times New Roman"/>
                <w:color w:val="000000"/>
                <w:szCs w:val="21"/>
              </w:rPr>
              <w:t>2022</w:t>
            </w:r>
            <w:r>
              <w:rPr>
                <w:rFonts w:ascii="Times New Roman" w:hAnsi="Times New Roman"/>
                <w:color w:val="000000"/>
                <w:szCs w:val="21"/>
              </w:rPr>
              <w:t>年回购</w:t>
            </w:r>
            <w:r>
              <w:rPr>
                <w:rFonts w:ascii="Times New Roman" w:hAnsi="Times New Roman" w:hint="eastAsia"/>
                <w:color w:val="000000"/>
                <w:szCs w:val="21"/>
              </w:rPr>
              <w:t>的</w:t>
            </w:r>
            <w:r>
              <w:rPr>
                <w:rFonts w:ascii="Times New Roman" w:eastAsiaTheme="minorEastAsia" w:hAnsi="Times New Roman"/>
                <w:color w:val="000000"/>
                <w:spacing w:val="3"/>
                <w:kern w:val="0"/>
                <w:szCs w:val="21"/>
              </w:rPr>
              <w:t>5,260,910</w:t>
            </w:r>
            <w:r>
              <w:rPr>
                <w:rFonts w:ascii="Times New Roman" w:hAnsi="Times New Roman"/>
                <w:color w:val="000000"/>
                <w:szCs w:val="21"/>
              </w:rPr>
              <w:t>股股份，</w:t>
            </w:r>
            <w:r>
              <w:rPr>
                <w:rFonts w:ascii="Times New Roman" w:hAnsi="Times New Roman" w:hint="eastAsia"/>
                <w:color w:val="000000"/>
                <w:szCs w:val="21"/>
              </w:rPr>
              <w:t>因</w:t>
            </w:r>
            <w:r>
              <w:rPr>
                <w:rFonts w:ascii="Times New Roman" w:hAnsi="Times New Roman"/>
                <w:color w:val="000000"/>
                <w:szCs w:val="21"/>
              </w:rPr>
              <w:t>公司股本</w:t>
            </w:r>
            <w:bookmarkStart w:id="0" w:name="_GoBack"/>
            <w:bookmarkEnd w:id="0"/>
            <w:r>
              <w:rPr>
                <w:rFonts w:ascii="Times New Roman" w:hAnsi="Times New Roman"/>
                <w:color w:val="000000"/>
                <w:szCs w:val="21"/>
              </w:rPr>
              <w:t>减少导致持股比例被动增加，不涉及持股数变化。</w:t>
            </w:r>
          </w:p>
        </w:tc>
        <w:tc>
          <w:tcPr>
            <w:tcW w:w="1070" w:type="dxa"/>
            <w:vAlign w:val="center"/>
          </w:tcPr>
          <w:p w14:paraId="22F89373" w14:textId="77777777" w:rsidR="006352B2" w:rsidRDefault="0014139A">
            <w:pPr>
              <w:adjustRightInd w:val="0"/>
              <w:snapToGrid w:val="0"/>
              <w:jc w:val="center"/>
              <w:rPr>
                <w:rFonts w:ascii="Times New Roman" w:hAnsi="Times New Roman"/>
                <w:color w:val="000000"/>
                <w:szCs w:val="21"/>
              </w:rPr>
            </w:pPr>
            <w:r>
              <w:rPr>
                <w:rFonts w:ascii="Times New Roman" w:hAnsi="Times New Roman" w:hint="eastAsia"/>
                <w:color w:val="000000"/>
                <w:szCs w:val="21"/>
              </w:rPr>
              <w:t>0.50%</w:t>
            </w:r>
          </w:p>
        </w:tc>
      </w:tr>
      <w:tr w:rsidR="006352B2" w14:paraId="1D4AC57E" w14:textId="77777777">
        <w:trPr>
          <w:trHeight w:hRule="exact" w:val="1012"/>
        </w:trPr>
        <w:tc>
          <w:tcPr>
            <w:tcW w:w="1161" w:type="dxa"/>
            <w:vMerge/>
            <w:vAlign w:val="center"/>
          </w:tcPr>
          <w:p w14:paraId="78DCCE31" w14:textId="77777777" w:rsidR="006352B2" w:rsidRDefault="006352B2">
            <w:pPr>
              <w:adjustRightInd w:val="0"/>
              <w:snapToGrid w:val="0"/>
              <w:jc w:val="left"/>
              <w:rPr>
                <w:rFonts w:ascii="Times New Roman" w:hAnsi="Times New Roman"/>
                <w:color w:val="000000"/>
                <w:szCs w:val="21"/>
              </w:rPr>
            </w:pPr>
          </w:p>
        </w:tc>
        <w:tc>
          <w:tcPr>
            <w:tcW w:w="1566" w:type="dxa"/>
            <w:vAlign w:val="center"/>
          </w:tcPr>
          <w:p w14:paraId="70D48452" w14:textId="77777777" w:rsidR="006352B2" w:rsidRPr="009873A4" w:rsidRDefault="0014139A">
            <w:pPr>
              <w:adjustRightInd w:val="0"/>
              <w:snapToGrid w:val="0"/>
              <w:jc w:val="center"/>
              <w:rPr>
                <w:rFonts w:ascii="Times New Roman" w:hAnsi="Times New Roman"/>
                <w:color w:val="000000"/>
                <w:szCs w:val="21"/>
              </w:rPr>
            </w:pPr>
            <w:r w:rsidRPr="009873A4">
              <w:rPr>
                <w:rFonts w:ascii="Times New Roman" w:hAnsi="Times New Roman"/>
                <w:color w:val="000000"/>
                <w:szCs w:val="21"/>
              </w:rPr>
              <w:t>集中竞价增持</w:t>
            </w:r>
          </w:p>
        </w:tc>
        <w:tc>
          <w:tcPr>
            <w:tcW w:w="1890" w:type="dxa"/>
            <w:vAlign w:val="center"/>
          </w:tcPr>
          <w:p w14:paraId="444BE2E8" w14:textId="730FF7EF" w:rsidR="006352B2" w:rsidRPr="009873A4" w:rsidRDefault="0014139A" w:rsidP="002940CE">
            <w:pPr>
              <w:adjustRightInd w:val="0"/>
              <w:snapToGrid w:val="0"/>
              <w:jc w:val="center"/>
              <w:rPr>
                <w:rFonts w:ascii="Times New Roman" w:hAnsi="Times New Roman"/>
                <w:color w:val="000000"/>
                <w:szCs w:val="21"/>
              </w:rPr>
            </w:pPr>
            <w:r w:rsidRPr="009873A4">
              <w:rPr>
                <w:rFonts w:ascii="Times New Roman" w:hAnsi="Times New Roman" w:hint="eastAsia"/>
                <w:color w:val="000000"/>
                <w:szCs w:val="21"/>
              </w:rPr>
              <w:t>2024</w:t>
            </w:r>
            <w:r w:rsidRPr="009873A4">
              <w:rPr>
                <w:rFonts w:ascii="Times New Roman" w:hAnsi="Times New Roman" w:hint="eastAsia"/>
                <w:color w:val="000000"/>
                <w:szCs w:val="21"/>
              </w:rPr>
              <w:t>年</w:t>
            </w:r>
            <w:r w:rsidRPr="009873A4">
              <w:rPr>
                <w:rFonts w:ascii="Times New Roman" w:hAnsi="Times New Roman" w:hint="eastAsia"/>
                <w:color w:val="000000"/>
                <w:szCs w:val="21"/>
              </w:rPr>
              <w:t>8</w:t>
            </w:r>
            <w:r w:rsidRPr="009873A4">
              <w:rPr>
                <w:rFonts w:ascii="Times New Roman" w:hAnsi="Times New Roman" w:hint="eastAsia"/>
                <w:color w:val="000000"/>
                <w:szCs w:val="21"/>
              </w:rPr>
              <w:t>月</w:t>
            </w:r>
            <w:r w:rsidRPr="009873A4">
              <w:rPr>
                <w:rFonts w:ascii="Times New Roman" w:hAnsi="Times New Roman" w:hint="eastAsia"/>
                <w:color w:val="000000"/>
                <w:szCs w:val="21"/>
              </w:rPr>
              <w:t>21</w:t>
            </w:r>
            <w:r w:rsidRPr="009873A4">
              <w:rPr>
                <w:rFonts w:ascii="Times New Roman" w:hAnsi="Times New Roman" w:hint="eastAsia"/>
                <w:color w:val="000000"/>
                <w:szCs w:val="21"/>
              </w:rPr>
              <w:t>日至</w:t>
            </w:r>
            <w:r w:rsidRPr="009873A4">
              <w:rPr>
                <w:rFonts w:ascii="Times New Roman" w:hAnsi="Times New Roman" w:hint="eastAsia"/>
                <w:color w:val="000000"/>
                <w:szCs w:val="21"/>
              </w:rPr>
              <w:t>2024</w:t>
            </w:r>
            <w:r w:rsidRPr="009873A4">
              <w:rPr>
                <w:rFonts w:ascii="Times New Roman" w:hAnsi="Times New Roman" w:hint="eastAsia"/>
                <w:color w:val="000000"/>
                <w:szCs w:val="21"/>
              </w:rPr>
              <w:t>年</w:t>
            </w:r>
            <w:r w:rsidR="002940CE" w:rsidRPr="009873A4">
              <w:rPr>
                <w:rFonts w:ascii="Times New Roman" w:hAnsi="Times New Roman" w:hint="eastAsia"/>
                <w:color w:val="000000"/>
                <w:szCs w:val="21"/>
              </w:rPr>
              <w:t>8</w:t>
            </w:r>
            <w:r w:rsidRPr="009873A4">
              <w:rPr>
                <w:rFonts w:ascii="Times New Roman" w:hAnsi="Times New Roman" w:hint="eastAsia"/>
                <w:color w:val="000000"/>
                <w:szCs w:val="21"/>
              </w:rPr>
              <w:t>月</w:t>
            </w:r>
            <w:r w:rsidR="002940CE" w:rsidRPr="009873A4">
              <w:rPr>
                <w:rFonts w:ascii="Times New Roman" w:hAnsi="Times New Roman" w:hint="eastAsia"/>
                <w:color w:val="000000"/>
                <w:szCs w:val="21"/>
              </w:rPr>
              <w:t>27</w:t>
            </w:r>
            <w:r w:rsidRPr="009873A4">
              <w:rPr>
                <w:rFonts w:ascii="Times New Roman" w:hAnsi="Times New Roman" w:hint="eastAsia"/>
                <w:color w:val="000000"/>
                <w:szCs w:val="21"/>
              </w:rPr>
              <w:t>日</w:t>
            </w:r>
          </w:p>
        </w:tc>
        <w:tc>
          <w:tcPr>
            <w:tcW w:w="2835" w:type="dxa"/>
            <w:vAlign w:val="center"/>
          </w:tcPr>
          <w:p w14:paraId="17014172" w14:textId="299306D5" w:rsidR="006352B2" w:rsidRPr="009873A4" w:rsidRDefault="002940CE">
            <w:pPr>
              <w:adjustRightInd w:val="0"/>
              <w:snapToGrid w:val="0"/>
              <w:jc w:val="center"/>
              <w:rPr>
                <w:rFonts w:ascii="Times New Roman" w:hAnsi="Times New Roman"/>
                <w:color w:val="000000"/>
                <w:szCs w:val="21"/>
              </w:rPr>
            </w:pPr>
            <w:r w:rsidRPr="009873A4">
              <w:rPr>
                <w:rFonts w:ascii="Times New Roman" w:hAnsi="Times New Roman" w:hint="eastAsia"/>
                <w:color w:val="000000"/>
                <w:szCs w:val="21"/>
              </w:rPr>
              <w:t>3</w:t>
            </w:r>
            <w:r w:rsidRPr="009873A4">
              <w:rPr>
                <w:rFonts w:ascii="Times New Roman" w:hAnsi="Times New Roman" w:hint="eastAsia"/>
                <w:color w:val="000000"/>
                <w:kern w:val="0"/>
                <w:szCs w:val="21"/>
              </w:rPr>
              <w:t>,</w:t>
            </w:r>
            <w:r w:rsidRPr="009873A4">
              <w:rPr>
                <w:rFonts w:ascii="Times New Roman" w:hAnsi="Times New Roman" w:hint="eastAsia"/>
                <w:color w:val="000000"/>
                <w:szCs w:val="21"/>
              </w:rPr>
              <w:t>025</w:t>
            </w:r>
            <w:r w:rsidRPr="009873A4">
              <w:rPr>
                <w:rFonts w:ascii="Times New Roman" w:hAnsi="Times New Roman" w:hint="eastAsia"/>
                <w:color w:val="000000"/>
                <w:kern w:val="0"/>
                <w:szCs w:val="21"/>
              </w:rPr>
              <w:t>,</w:t>
            </w:r>
            <w:r w:rsidRPr="009873A4">
              <w:rPr>
                <w:rFonts w:ascii="Times New Roman" w:hAnsi="Times New Roman" w:hint="eastAsia"/>
                <w:color w:val="000000"/>
                <w:szCs w:val="21"/>
              </w:rPr>
              <w:t>500</w:t>
            </w:r>
          </w:p>
        </w:tc>
        <w:tc>
          <w:tcPr>
            <w:tcW w:w="1070" w:type="dxa"/>
            <w:vAlign w:val="center"/>
          </w:tcPr>
          <w:p w14:paraId="58769B3B" w14:textId="708E0019" w:rsidR="006352B2" w:rsidRDefault="0014139A" w:rsidP="001B4422">
            <w:pPr>
              <w:adjustRightInd w:val="0"/>
              <w:snapToGrid w:val="0"/>
              <w:jc w:val="center"/>
              <w:rPr>
                <w:rFonts w:ascii="Times New Roman" w:hAnsi="Times New Roman"/>
                <w:color w:val="000000"/>
                <w:szCs w:val="21"/>
                <w:highlight w:val="yellow"/>
              </w:rPr>
            </w:pPr>
            <w:r>
              <w:rPr>
                <w:rFonts w:ascii="Times New Roman" w:hAnsi="Times New Roman" w:hint="eastAsia"/>
                <w:color w:val="000000"/>
                <w:szCs w:val="21"/>
              </w:rPr>
              <w:t>0.5</w:t>
            </w:r>
            <w:r w:rsidR="001B4422">
              <w:rPr>
                <w:rFonts w:ascii="Times New Roman" w:hAnsi="Times New Roman" w:hint="eastAsia"/>
                <w:color w:val="000000"/>
                <w:szCs w:val="21"/>
              </w:rPr>
              <w:t>2</w:t>
            </w:r>
            <w:r>
              <w:rPr>
                <w:rFonts w:ascii="Times New Roman" w:hAnsi="Times New Roman" w:hint="eastAsia"/>
                <w:color w:val="000000"/>
                <w:szCs w:val="21"/>
              </w:rPr>
              <w:t>%</w:t>
            </w:r>
          </w:p>
        </w:tc>
      </w:tr>
      <w:tr w:rsidR="006352B2" w14:paraId="5DE3E68F" w14:textId="77777777">
        <w:trPr>
          <w:trHeight w:hRule="exact" w:val="567"/>
        </w:trPr>
        <w:tc>
          <w:tcPr>
            <w:tcW w:w="4617" w:type="dxa"/>
            <w:gridSpan w:val="3"/>
            <w:vAlign w:val="center"/>
          </w:tcPr>
          <w:p w14:paraId="46B2417C" w14:textId="77777777" w:rsidR="006352B2" w:rsidRPr="009873A4" w:rsidRDefault="0014139A">
            <w:pPr>
              <w:adjustRightInd w:val="0"/>
              <w:snapToGrid w:val="0"/>
              <w:jc w:val="center"/>
              <w:rPr>
                <w:rFonts w:ascii="Times New Roman" w:hAnsi="Times New Roman"/>
                <w:color w:val="000000"/>
                <w:szCs w:val="21"/>
              </w:rPr>
            </w:pPr>
            <w:r w:rsidRPr="009873A4">
              <w:rPr>
                <w:rFonts w:ascii="Times New Roman" w:hAnsi="Times New Roman" w:hint="eastAsia"/>
                <w:color w:val="000000"/>
                <w:szCs w:val="21"/>
              </w:rPr>
              <w:t>合计持股变动</w:t>
            </w:r>
          </w:p>
        </w:tc>
        <w:tc>
          <w:tcPr>
            <w:tcW w:w="2835" w:type="dxa"/>
            <w:vAlign w:val="center"/>
          </w:tcPr>
          <w:p w14:paraId="6BA71898" w14:textId="7ACF7521" w:rsidR="006352B2" w:rsidRPr="009873A4" w:rsidRDefault="001B4422">
            <w:pPr>
              <w:adjustRightInd w:val="0"/>
              <w:snapToGrid w:val="0"/>
              <w:jc w:val="center"/>
              <w:rPr>
                <w:rFonts w:ascii="Times New Roman" w:hAnsi="Times New Roman"/>
                <w:color w:val="000000"/>
                <w:szCs w:val="21"/>
              </w:rPr>
            </w:pPr>
            <w:r>
              <w:rPr>
                <w:rFonts w:ascii="Times New Roman" w:hAnsi="Times New Roman" w:hint="eastAsia"/>
                <w:color w:val="000000"/>
                <w:szCs w:val="21"/>
              </w:rPr>
              <w:t>3</w:t>
            </w:r>
            <w:r w:rsidRPr="009873A4">
              <w:rPr>
                <w:rFonts w:ascii="Times New Roman" w:hAnsi="Times New Roman" w:hint="eastAsia"/>
                <w:color w:val="000000"/>
                <w:kern w:val="0"/>
                <w:szCs w:val="21"/>
              </w:rPr>
              <w:t>,</w:t>
            </w:r>
            <w:r>
              <w:rPr>
                <w:rFonts w:ascii="Times New Roman" w:hAnsi="Times New Roman" w:hint="eastAsia"/>
                <w:color w:val="000000"/>
                <w:szCs w:val="21"/>
              </w:rPr>
              <w:t>025</w:t>
            </w:r>
            <w:r w:rsidRPr="009873A4">
              <w:rPr>
                <w:rFonts w:ascii="Times New Roman" w:hAnsi="Times New Roman" w:hint="eastAsia"/>
                <w:color w:val="000000"/>
                <w:kern w:val="0"/>
                <w:szCs w:val="21"/>
              </w:rPr>
              <w:t>,</w:t>
            </w:r>
            <w:r>
              <w:rPr>
                <w:rFonts w:ascii="Times New Roman" w:hAnsi="Times New Roman" w:hint="eastAsia"/>
                <w:color w:val="000000"/>
                <w:szCs w:val="21"/>
              </w:rPr>
              <w:t>500</w:t>
            </w:r>
          </w:p>
        </w:tc>
        <w:tc>
          <w:tcPr>
            <w:tcW w:w="1070" w:type="dxa"/>
            <w:vAlign w:val="center"/>
          </w:tcPr>
          <w:p w14:paraId="4BD2C1F2" w14:textId="5044A323" w:rsidR="006352B2" w:rsidRDefault="0014139A" w:rsidP="001B4422">
            <w:pPr>
              <w:adjustRightInd w:val="0"/>
              <w:snapToGrid w:val="0"/>
              <w:jc w:val="center"/>
              <w:rPr>
                <w:rFonts w:ascii="Times New Roman" w:hAnsi="Times New Roman"/>
                <w:color w:val="000000"/>
                <w:szCs w:val="21"/>
                <w:highlight w:val="yellow"/>
              </w:rPr>
            </w:pPr>
            <w:r>
              <w:rPr>
                <w:rFonts w:ascii="Times New Roman" w:hAnsi="Times New Roman" w:hint="eastAsia"/>
                <w:color w:val="000000"/>
                <w:szCs w:val="21"/>
              </w:rPr>
              <w:t>1.0</w:t>
            </w:r>
            <w:r w:rsidR="001B4422">
              <w:rPr>
                <w:rFonts w:ascii="Times New Roman" w:hAnsi="Times New Roman" w:hint="eastAsia"/>
                <w:color w:val="000000"/>
                <w:szCs w:val="21"/>
              </w:rPr>
              <w:t>2</w:t>
            </w:r>
            <w:r>
              <w:rPr>
                <w:rFonts w:ascii="Times New Roman" w:hAnsi="Times New Roman" w:hint="eastAsia"/>
                <w:color w:val="000000"/>
                <w:szCs w:val="21"/>
              </w:rPr>
              <w:t>%</w:t>
            </w:r>
          </w:p>
        </w:tc>
      </w:tr>
    </w:tbl>
    <w:p w14:paraId="24F0632C" w14:textId="77777777" w:rsidR="006352B2" w:rsidRDefault="0014139A">
      <w:pPr>
        <w:autoSpaceDE w:val="0"/>
        <w:autoSpaceDN w:val="0"/>
        <w:adjustRightInd w:val="0"/>
        <w:snapToGrid w:val="0"/>
        <w:spacing w:line="520" w:lineRule="atLeast"/>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注：</w:t>
      </w:r>
    </w:p>
    <w:p w14:paraId="48A022C9" w14:textId="77777777" w:rsidR="006352B2" w:rsidRDefault="0014139A">
      <w:pPr>
        <w:autoSpaceDE w:val="0"/>
        <w:autoSpaceDN w:val="0"/>
        <w:adjustRightInd w:val="0"/>
        <w:snapToGrid w:val="0"/>
        <w:spacing w:line="520" w:lineRule="atLeast"/>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 xml:space="preserve">1. </w:t>
      </w:r>
      <w:r>
        <w:rPr>
          <w:rFonts w:ascii="Times New Roman" w:hAnsi="Times New Roman" w:hint="eastAsia"/>
          <w:color w:val="000000"/>
          <w:kern w:val="0"/>
          <w:sz w:val="24"/>
          <w:szCs w:val="24"/>
        </w:rPr>
        <w:t>回购股份注销具体内容详见公司于</w:t>
      </w:r>
      <w:r>
        <w:rPr>
          <w:rFonts w:ascii="Times New Roman" w:hAnsi="Times New Roman" w:hint="eastAsia"/>
          <w:color w:val="000000"/>
          <w:kern w:val="0"/>
          <w:sz w:val="24"/>
          <w:szCs w:val="24"/>
        </w:rPr>
        <w:t>2024</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7</w:t>
      </w:r>
      <w:r>
        <w:rPr>
          <w:rFonts w:ascii="Times New Roman" w:hAnsi="Times New Roman" w:hint="eastAsia"/>
          <w:color w:val="000000"/>
          <w:kern w:val="0"/>
          <w:sz w:val="24"/>
          <w:szCs w:val="24"/>
        </w:rPr>
        <w:t>月</w:t>
      </w: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日在上海证券交易所网站（</w:t>
      </w:r>
      <w:r>
        <w:rPr>
          <w:rFonts w:ascii="Times New Roman" w:hAnsi="Times New Roman" w:hint="eastAsia"/>
          <w:color w:val="000000"/>
          <w:kern w:val="0"/>
          <w:sz w:val="24"/>
          <w:szCs w:val="24"/>
        </w:rPr>
        <w:t>www.sse.com.cn</w:t>
      </w:r>
      <w:r>
        <w:rPr>
          <w:rFonts w:ascii="Times New Roman" w:hAnsi="Times New Roman" w:hint="eastAsia"/>
          <w:color w:val="000000"/>
          <w:kern w:val="0"/>
          <w:sz w:val="24"/>
          <w:szCs w:val="24"/>
        </w:rPr>
        <w:t>）发布的《安图生物关于注销已回购股份暨股份变动的公告》（公告编号：</w:t>
      </w:r>
      <w:r>
        <w:rPr>
          <w:rFonts w:ascii="Times New Roman" w:hAnsi="Times New Roman" w:hint="eastAsia"/>
          <w:color w:val="000000"/>
          <w:kern w:val="0"/>
          <w:sz w:val="24"/>
          <w:szCs w:val="24"/>
        </w:rPr>
        <w:t>2024-049</w:t>
      </w:r>
      <w:r>
        <w:rPr>
          <w:rFonts w:ascii="Times New Roman" w:hAnsi="Times New Roman" w:hint="eastAsia"/>
          <w:color w:val="000000"/>
          <w:kern w:val="0"/>
          <w:sz w:val="24"/>
          <w:szCs w:val="24"/>
        </w:rPr>
        <w:t>）。本次回购股份注销前，公司总股本为</w:t>
      </w:r>
      <w:r>
        <w:rPr>
          <w:rFonts w:ascii="Times New Roman" w:hAnsi="Times New Roman"/>
          <w:kern w:val="0"/>
          <w:sz w:val="24"/>
          <w:szCs w:val="24"/>
          <w:shd w:val="clear" w:color="auto" w:fill="FFFFFF"/>
        </w:rPr>
        <w:t>586,272,256</w:t>
      </w:r>
      <w:r>
        <w:rPr>
          <w:rFonts w:ascii="Times New Roman" w:hAnsi="Times New Roman" w:hint="eastAsia"/>
          <w:kern w:val="0"/>
          <w:sz w:val="24"/>
          <w:szCs w:val="24"/>
          <w:shd w:val="clear" w:color="auto" w:fill="FFFFFF"/>
        </w:rPr>
        <w:t>股，安图实业持有公司股份</w:t>
      </w:r>
      <w:r>
        <w:rPr>
          <w:rFonts w:ascii="Times New Roman" w:hAnsi="Times New Roman" w:hint="eastAsia"/>
          <w:color w:val="000000"/>
          <w:kern w:val="0"/>
          <w:sz w:val="24"/>
          <w:szCs w:val="24"/>
        </w:rPr>
        <w:t>323,904,473</w:t>
      </w:r>
      <w:r>
        <w:rPr>
          <w:rFonts w:ascii="Times New Roman" w:hAnsi="Times New Roman" w:hint="eastAsia"/>
          <w:color w:val="000000"/>
          <w:kern w:val="0"/>
          <w:sz w:val="24"/>
          <w:szCs w:val="24"/>
        </w:rPr>
        <w:t>股，持股比例为</w:t>
      </w:r>
      <w:r>
        <w:rPr>
          <w:rFonts w:ascii="Times New Roman" w:hAnsi="Times New Roman" w:hint="eastAsia"/>
          <w:color w:val="000000"/>
          <w:kern w:val="0"/>
          <w:sz w:val="24"/>
          <w:szCs w:val="24"/>
        </w:rPr>
        <w:t>55.25%</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2024</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7</w:t>
      </w:r>
      <w:r>
        <w:rPr>
          <w:rFonts w:ascii="Times New Roman" w:hAnsi="Times New Roman" w:hint="eastAsia"/>
          <w:color w:val="000000"/>
          <w:kern w:val="0"/>
          <w:sz w:val="24"/>
          <w:szCs w:val="24"/>
        </w:rPr>
        <w:t>月</w:t>
      </w: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日回购股份注销后，公司总股本为</w:t>
      </w:r>
      <w:r>
        <w:rPr>
          <w:rFonts w:ascii="Times New Roman" w:hAnsi="Times New Roman"/>
          <w:sz w:val="24"/>
          <w:szCs w:val="24"/>
        </w:rPr>
        <w:t>581,011,346</w:t>
      </w:r>
      <w:r>
        <w:rPr>
          <w:rFonts w:ascii="Times New Roman" w:hAnsi="Times New Roman" w:hint="eastAsia"/>
          <w:sz w:val="24"/>
          <w:szCs w:val="24"/>
        </w:rPr>
        <w:t>股，安图实业持股数量未变化，持股比例上升至</w:t>
      </w:r>
      <w:r>
        <w:rPr>
          <w:rFonts w:ascii="Times New Roman" w:hAnsi="Times New Roman" w:hint="eastAsia"/>
          <w:sz w:val="24"/>
          <w:szCs w:val="24"/>
        </w:rPr>
        <w:t>55.75%</w:t>
      </w:r>
      <w:r>
        <w:rPr>
          <w:rFonts w:ascii="Times New Roman" w:hAnsi="Times New Roman" w:hint="eastAsia"/>
          <w:sz w:val="24"/>
          <w:szCs w:val="24"/>
        </w:rPr>
        <w:t>。</w:t>
      </w:r>
    </w:p>
    <w:p w14:paraId="1567FC0A" w14:textId="77777777" w:rsidR="006352B2" w:rsidRDefault="0014139A">
      <w:pPr>
        <w:autoSpaceDE w:val="0"/>
        <w:autoSpaceDN w:val="0"/>
        <w:adjustRightInd w:val="0"/>
        <w:snapToGrid w:val="0"/>
        <w:spacing w:line="520" w:lineRule="atLeast"/>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 xml:space="preserve">2. </w:t>
      </w:r>
      <w:r>
        <w:rPr>
          <w:rFonts w:ascii="Times New Roman" w:hAnsi="Times New Roman" w:hint="eastAsia"/>
          <w:color w:val="000000"/>
          <w:kern w:val="0"/>
          <w:sz w:val="24"/>
          <w:szCs w:val="24"/>
        </w:rPr>
        <w:t>安图实业通过上海证券交易所交易系统增持公司股份的资金来源于其自</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有资金，具体增</w:t>
      </w:r>
      <w:proofErr w:type="gramStart"/>
      <w:r>
        <w:rPr>
          <w:rFonts w:ascii="Times New Roman" w:hAnsi="Times New Roman" w:hint="eastAsia"/>
          <w:color w:val="000000"/>
          <w:kern w:val="0"/>
          <w:sz w:val="24"/>
          <w:szCs w:val="24"/>
        </w:rPr>
        <w:t>持计划</w:t>
      </w:r>
      <w:proofErr w:type="gramEnd"/>
      <w:r>
        <w:rPr>
          <w:rFonts w:ascii="Times New Roman" w:hAnsi="Times New Roman" w:hint="eastAsia"/>
          <w:color w:val="000000"/>
          <w:kern w:val="0"/>
          <w:sz w:val="24"/>
          <w:szCs w:val="24"/>
        </w:rPr>
        <w:t>详见公司于</w:t>
      </w:r>
      <w:r>
        <w:rPr>
          <w:rFonts w:ascii="Times New Roman" w:hAnsi="Times New Roman" w:hint="eastAsia"/>
          <w:color w:val="000000"/>
          <w:kern w:val="0"/>
          <w:sz w:val="24"/>
          <w:szCs w:val="24"/>
        </w:rPr>
        <w:t>2024</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8</w:t>
      </w:r>
      <w:r>
        <w:rPr>
          <w:rFonts w:ascii="Times New Roman" w:hAnsi="Times New Roman" w:hint="eastAsia"/>
          <w:color w:val="000000"/>
          <w:kern w:val="0"/>
          <w:sz w:val="24"/>
          <w:szCs w:val="24"/>
        </w:rPr>
        <w:t>月</w:t>
      </w:r>
      <w:r>
        <w:rPr>
          <w:rFonts w:ascii="Times New Roman" w:hAnsi="Times New Roman" w:hint="eastAsia"/>
          <w:color w:val="000000"/>
          <w:kern w:val="0"/>
          <w:sz w:val="24"/>
          <w:szCs w:val="24"/>
        </w:rPr>
        <w:t>22</w:t>
      </w:r>
      <w:r>
        <w:rPr>
          <w:rFonts w:ascii="Times New Roman" w:hAnsi="Times New Roman" w:hint="eastAsia"/>
          <w:color w:val="000000"/>
          <w:kern w:val="0"/>
          <w:sz w:val="24"/>
          <w:szCs w:val="24"/>
        </w:rPr>
        <w:t>日披露的《安图生物关于控股股东增持公司股份暨后续增持计划的公告》（公告编号：</w:t>
      </w:r>
      <w:r>
        <w:rPr>
          <w:rFonts w:ascii="Times New Roman" w:hAnsi="Times New Roman" w:hint="eastAsia"/>
          <w:color w:val="000000"/>
          <w:kern w:val="0"/>
          <w:sz w:val="24"/>
          <w:szCs w:val="24"/>
        </w:rPr>
        <w:t>2024-061</w:t>
      </w:r>
      <w:r>
        <w:rPr>
          <w:rFonts w:ascii="Times New Roman" w:hAnsi="Times New Roman" w:hint="eastAsia"/>
          <w:color w:val="000000"/>
          <w:kern w:val="0"/>
          <w:sz w:val="24"/>
          <w:szCs w:val="24"/>
        </w:rPr>
        <w:t>）。</w:t>
      </w:r>
    </w:p>
    <w:p w14:paraId="5C8D87E6" w14:textId="77777777" w:rsidR="006352B2" w:rsidRDefault="0014139A" w:rsidP="002940CE">
      <w:pPr>
        <w:autoSpaceDE w:val="0"/>
        <w:autoSpaceDN w:val="0"/>
        <w:adjustRightInd w:val="0"/>
        <w:snapToGrid w:val="0"/>
        <w:spacing w:afterLines="50" w:after="156" w:line="520" w:lineRule="atLeast"/>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（二）本次权益变动前后，信息披露义务人拥有公司权益的股份情况</w:t>
      </w:r>
    </w:p>
    <w:tbl>
      <w:tblPr>
        <w:tblStyle w:val="a6"/>
        <w:tblW w:w="0" w:type="auto"/>
        <w:tblLook w:val="04A0" w:firstRow="1" w:lastRow="0" w:firstColumn="1" w:lastColumn="0" w:noHBand="0" w:noVBand="1"/>
      </w:tblPr>
      <w:tblGrid>
        <w:gridCol w:w="2031"/>
        <w:gridCol w:w="1410"/>
        <w:gridCol w:w="1560"/>
        <w:gridCol w:w="990"/>
        <w:gridCol w:w="1500"/>
        <w:gridCol w:w="1031"/>
      </w:tblGrid>
      <w:tr w:rsidR="006352B2" w14:paraId="45A6E379" w14:textId="77777777">
        <w:trPr>
          <w:trHeight w:val="510"/>
        </w:trPr>
        <w:tc>
          <w:tcPr>
            <w:tcW w:w="2031" w:type="dxa"/>
            <w:vMerge w:val="restart"/>
            <w:vAlign w:val="center"/>
          </w:tcPr>
          <w:p w14:paraId="2648EA1F" w14:textId="77777777" w:rsidR="006352B2" w:rsidRDefault="0014139A">
            <w:pPr>
              <w:autoSpaceDE w:val="0"/>
              <w:autoSpaceDN w:val="0"/>
              <w:adjustRightInd w:val="0"/>
              <w:snapToGrid w:val="0"/>
              <w:spacing w:line="400" w:lineRule="exact"/>
              <w:jc w:val="center"/>
              <w:rPr>
                <w:rFonts w:ascii="Times New Roman" w:hAnsi="Times New Roman"/>
                <w:color w:val="000000"/>
                <w:kern w:val="0"/>
                <w:szCs w:val="21"/>
              </w:rPr>
            </w:pPr>
            <w:r>
              <w:rPr>
                <w:rFonts w:ascii="Times New Roman" w:hAnsi="Times New Roman" w:hint="eastAsia"/>
                <w:color w:val="000000"/>
                <w:kern w:val="0"/>
                <w:szCs w:val="21"/>
              </w:rPr>
              <w:t>股东名称</w:t>
            </w:r>
          </w:p>
        </w:tc>
        <w:tc>
          <w:tcPr>
            <w:tcW w:w="1410" w:type="dxa"/>
            <w:vMerge w:val="restart"/>
            <w:vAlign w:val="center"/>
          </w:tcPr>
          <w:p w14:paraId="33534761" w14:textId="77777777" w:rsidR="006352B2" w:rsidRDefault="0014139A">
            <w:pPr>
              <w:autoSpaceDE w:val="0"/>
              <w:autoSpaceDN w:val="0"/>
              <w:adjustRightInd w:val="0"/>
              <w:snapToGrid w:val="0"/>
              <w:spacing w:line="400" w:lineRule="exact"/>
              <w:jc w:val="center"/>
              <w:rPr>
                <w:rFonts w:ascii="Times New Roman" w:hAnsi="Times New Roman"/>
                <w:color w:val="000000"/>
                <w:kern w:val="0"/>
                <w:szCs w:val="21"/>
              </w:rPr>
            </w:pPr>
            <w:r>
              <w:rPr>
                <w:rFonts w:ascii="Times New Roman" w:hAnsi="Times New Roman" w:hint="eastAsia"/>
                <w:color w:val="000000"/>
                <w:kern w:val="0"/>
                <w:szCs w:val="21"/>
              </w:rPr>
              <w:t>股份性质</w:t>
            </w:r>
          </w:p>
        </w:tc>
        <w:tc>
          <w:tcPr>
            <w:tcW w:w="2550" w:type="dxa"/>
            <w:gridSpan w:val="2"/>
            <w:vAlign w:val="center"/>
          </w:tcPr>
          <w:p w14:paraId="03A0C842" w14:textId="77777777" w:rsidR="006352B2" w:rsidRDefault="0014139A">
            <w:pPr>
              <w:autoSpaceDE w:val="0"/>
              <w:autoSpaceDN w:val="0"/>
              <w:adjustRightInd w:val="0"/>
              <w:snapToGrid w:val="0"/>
              <w:spacing w:line="400" w:lineRule="exact"/>
              <w:jc w:val="center"/>
              <w:rPr>
                <w:rFonts w:ascii="Times New Roman" w:hAnsi="Times New Roman"/>
                <w:color w:val="000000"/>
                <w:kern w:val="0"/>
                <w:szCs w:val="21"/>
              </w:rPr>
            </w:pPr>
            <w:r>
              <w:rPr>
                <w:rFonts w:ascii="Times New Roman" w:hAnsi="Times New Roman" w:hint="eastAsia"/>
                <w:color w:val="000000"/>
                <w:kern w:val="0"/>
                <w:szCs w:val="21"/>
              </w:rPr>
              <w:t>本次变动前持有股份</w:t>
            </w:r>
          </w:p>
        </w:tc>
        <w:tc>
          <w:tcPr>
            <w:tcW w:w="2531" w:type="dxa"/>
            <w:gridSpan w:val="2"/>
            <w:vAlign w:val="center"/>
          </w:tcPr>
          <w:p w14:paraId="223A7598" w14:textId="77777777" w:rsidR="006352B2" w:rsidRDefault="0014139A">
            <w:pPr>
              <w:autoSpaceDE w:val="0"/>
              <w:autoSpaceDN w:val="0"/>
              <w:adjustRightInd w:val="0"/>
              <w:snapToGrid w:val="0"/>
              <w:spacing w:line="400" w:lineRule="exact"/>
              <w:jc w:val="center"/>
              <w:rPr>
                <w:rFonts w:ascii="Times New Roman" w:hAnsi="Times New Roman"/>
                <w:color w:val="000000"/>
                <w:kern w:val="0"/>
                <w:szCs w:val="21"/>
              </w:rPr>
            </w:pPr>
            <w:r>
              <w:rPr>
                <w:rFonts w:ascii="Times New Roman" w:hAnsi="Times New Roman" w:hint="eastAsia"/>
                <w:color w:val="000000"/>
                <w:kern w:val="0"/>
                <w:szCs w:val="21"/>
              </w:rPr>
              <w:t>本次变动后持有股份</w:t>
            </w:r>
          </w:p>
        </w:tc>
      </w:tr>
      <w:tr w:rsidR="006352B2" w:rsidRPr="009873A4" w14:paraId="21991EFB" w14:textId="77777777">
        <w:trPr>
          <w:trHeight w:val="510"/>
        </w:trPr>
        <w:tc>
          <w:tcPr>
            <w:tcW w:w="2031" w:type="dxa"/>
            <w:vMerge/>
            <w:vAlign w:val="center"/>
          </w:tcPr>
          <w:p w14:paraId="6DF5C3F1" w14:textId="77777777" w:rsidR="006352B2" w:rsidRDefault="006352B2">
            <w:pPr>
              <w:autoSpaceDE w:val="0"/>
              <w:autoSpaceDN w:val="0"/>
              <w:adjustRightInd w:val="0"/>
              <w:snapToGrid w:val="0"/>
              <w:spacing w:line="400" w:lineRule="exact"/>
              <w:jc w:val="center"/>
              <w:rPr>
                <w:rFonts w:ascii="Times New Roman" w:hAnsi="Times New Roman"/>
                <w:color w:val="000000"/>
                <w:kern w:val="0"/>
                <w:szCs w:val="21"/>
              </w:rPr>
            </w:pPr>
          </w:p>
        </w:tc>
        <w:tc>
          <w:tcPr>
            <w:tcW w:w="1410" w:type="dxa"/>
            <w:vMerge/>
            <w:vAlign w:val="center"/>
          </w:tcPr>
          <w:p w14:paraId="324FAFAA" w14:textId="77777777" w:rsidR="006352B2" w:rsidRDefault="006352B2">
            <w:pPr>
              <w:autoSpaceDE w:val="0"/>
              <w:autoSpaceDN w:val="0"/>
              <w:adjustRightInd w:val="0"/>
              <w:snapToGrid w:val="0"/>
              <w:spacing w:line="400" w:lineRule="exact"/>
              <w:jc w:val="center"/>
              <w:rPr>
                <w:rFonts w:ascii="Times New Roman" w:hAnsi="Times New Roman"/>
                <w:color w:val="000000"/>
                <w:kern w:val="0"/>
                <w:szCs w:val="21"/>
              </w:rPr>
            </w:pPr>
          </w:p>
        </w:tc>
        <w:tc>
          <w:tcPr>
            <w:tcW w:w="1560" w:type="dxa"/>
            <w:vAlign w:val="center"/>
          </w:tcPr>
          <w:p w14:paraId="10F60641" w14:textId="77777777" w:rsidR="006352B2" w:rsidRPr="009873A4" w:rsidRDefault="0014139A">
            <w:pPr>
              <w:autoSpaceDE w:val="0"/>
              <w:autoSpaceDN w:val="0"/>
              <w:adjustRightInd w:val="0"/>
              <w:snapToGrid w:val="0"/>
              <w:spacing w:line="400" w:lineRule="exact"/>
              <w:jc w:val="center"/>
              <w:rPr>
                <w:rFonts w:ascii="Times New Roman" w:hAnsi="Times New Roman"/>
                <w:color w:val="000000"/>
                <w:kern w:val="0"/>
                <w:szCs w:val="21"/>
              </w:rPr>
            </w:pPr>
            <w:r w:rsidRPr="009873A4">
              <w:rPr>
                <w:rFonts w:ascii="Times New Roman" w:hAnsi="Times New Roman" w:hint="eastAsia"/>
                <w:color w:val="000000"/>
                <w:kern w:val="0"/>
                <w:szCs w:val="21"/>
              </w:rPr>
              <w:t>持有数量（股）</w:t>
            </w:r>
          </w:p>
        </w:tc>
        <w:tc>
          <w:tcPr>
            <w:tcW w:w="990" w:type="dxa"/>
            <w:vAlign w:val="center"/>
          </w:tcPr>
          <w:p w14:paraId="23987F1F" w14:textId="77777777" w:rsidR="006352B2" w:rsidRPr="009873A4" w:rsidRDefault="0014139A">
            <w:pPr>
              <w:autoSpaceDE w:val="0"/>
              <w:autoSpaceDN w:val="0"/>
              <w:adjustRightInd w:val="0"/>
              <w:snapToGrid w:val="0"/>
              <w:spacing w:line="400" w:lineRule="exact"/>
              <w:jc w:val="center"/>
              <w:rPr>
                <w:rFonts w:ascii="Times New Roman" w:hAnsi="Times New Roman"/>
                <w:color w:val="000000"/>
                <w:kern w:val="0"/>
                <w:szCs w:val="21"/>
              </w:rPr>
            </w:pPr>
            <w:r w:rsidRPr="009873A4">
              <w:rPr>
                <w:rFonts w:ascii="Times New Roman" w:hAnsi="Times New Roman" w:hint="eastAsia"/>
                <w:color w:val="000000"/>
                <w:kern w:val="0"/>
                <w:szCs w:val="21"/>
              </w:rPr>
              <w:t>占总股本比例</w:t>
            </w:r>
          </w:p>
        </w:tc>
        <w:tc>
          <w:tcPr>
            <w:tcW w:w="1500" w:type="dxa"/>
            <w:vAlign w:val="center"/>
          </w:tcPr>
          <w:p w14:paraId="21196810" w14:textId="77777777" w:rsidR="006352B2" w:rsidRPr="009873A4" w:rsidRDefault="0014139A">
            <w:pPr>
              <w:autoSpaceDE w:val="0"/>
              <w:autoSpaceDN w:val="0"/>
              <w:adjustRightInd w:val="0"/>
              <w:snapToGrid w:val="0"/>
              <w:spacing w:line="400" w:lineRule="exact"/>
              <w:jc w:val="center"/>
              <w:rPr>
                <w:rFonts w:ascii="Times New Roman" w:hAnsi="Times New Roman"/>
                <w:color w:val="000000"/>
                <w:kern w:val="0"/>
                <w:szCs w:val="21"/>
              </w:rPr>
            </w:pPr>
            <w:r w:rsidRPr="009873A4">
              <w:rPr>
                <w:rFonts w:ascii="Times New Roman" w:hAnsi="Times New Roman" w:hint="eastAsia"/>
                <w:color w:val="000000"/>
                <w:kern w:val="0"/>
                <w:szCs w:val="21"/>
              </w:rPr>
              <w:t>持有数量（股）</w:t>
            </w:r>
          </w:p>
        </w:tc>
        <w:tc>
          <w:tcPr>
            <w:tcW w:w="1031" w:type="dxa"/>
            <w:vAlign w:val="center"/>
          </w:tcPr>
          <w:p w14:paraId="2E159164" w14:textId="77777777" w:rsidR="006352B2" w:rsidRPr="009873A4" w:rsidRDefault="0014139A">
            <w:pPr>
              <w:autoSpaceDE w:val="0"/>
              <w:autoSpaceDN w:val="0"/>
              <w:adjustRightInd w:val="0"/>
              <w:snapToGrid w:val="0"/>
              <w:spacing w:line="400" w:lineRule="exact"/>
              <w:jc w:val="center"/>
              <w:rPr>
                <w:rFonts w:ascii="Times New Roman" w:hAnsi="Times New Roman"/>
                <w:color w:val="000000"/>
                <w:kern w:val="0"/>
                <w:szCs w:val="21"/>
              </w:rPr>
            </w:pPr>
            <w:r w:rsidRPr="009873A4">
              <w:rPr>
                <w:rFonts w:ascii="Times New Roman" w:hAnsi="Times New Roman" w:hint="eastAsia"/>
                <w:color w:val="000000"/>
                <w:kern w:val="0"/>
                <w:szCs w:val="21"/>
              </w:rPr>
              <w:t>占总股本比例</w:t>
            </w:r>
          </w:p>
        </w:tc>
      </w:tr>
      <w:tr w:rsidR="006352B2" w:rsidRPr="009873A4" w14:paraId="4BEABE67" w14:textId="77777777">
        <w:tc>
          <w:tcPr>
            <w:tcW w:w="2031" w:type="dxa"/>
            <w:vAlign w:val="center"/>
          </w:tcPr>
          <w:p w14:paraId="03EE56E8" w14:textId="77777777" w:rsidR="006352B2" w:rsidRDefault="0014139A">
            <w:pPr>
              <w:autoSpaceDE w:val="0"/>
              <w:autoSpaceDN w:val="0"/>
              <w:adjustRightInd w:val="0"/>
              <w:snapToGrid w:val="0"/>
              <w:spacing w:line="400" w:lineRule="exact"/>
              <w:jc w:val="center"/>
              <w:rPr>
                <w:rFonts w:ascii="Times New Roman" w:hAnsi="Times New Roman"/>
                <w:color w:val="000000"/>
                <w:kern w:val="0"/>
                <w:szCs w:val="21"/>
              </w:rPr>
            </w:pPr>
            <w:r>
              <w:rPr>
                <w:rFonts w:ascii="Times New Roman" w:hAnsi="Times New Roman" w:hint="eastAsia"/>
                <w:color w:val="000000"/>
                <w:szCs w:val="21"/>
              </w:rPr>
              <w:t>郑州安图实业集团股份有限公司</w:t>
            </w:r>
          </w:p>
        </w:tc>
        <w:tc>
          <w:tcPr>
            <w:tcW w:w="1410" w:type="dxa"/>
            <w:vAlign w:val="center"/>
          </w:tcPr>
          <w:p w14:paraId="577417E0" w14:textId="77777777" w:rsidR="006352B2" w:rsidRDefault="0014139A">
            <w:pPr>
              <w:autoSpaceDE w:val="0"/>
              <w:autoSpaceDN w:val="0"/>
              <w:adjustRightInd w:val="0"/>
              <w:snapToGrid w:val="0"/>
              <w:spacing w:line="400" w:lineRule="exact"/>
              <w:jc w:val="center"/>
              <w:rPr>
                <w:rFonts w:ascii="Times New Roman" w:hAnsi="Times New Roman"/>
                <w:color w:val="000000"/>
                <w:kern w:val="0"/>
                <w:szCs w:val="21"/>
              </w:rPr>
            </w:pPr>
            <w:r>
              <w:rPr>
                <w:rFonts w:ascii="Times New Roman" w:hAnsi="Times New Roman" w:hint="eastAsia"/>
                <w:color w:val="000000"/>
                <w:kern w:val="0"/>
                <w:szCs w:val="21"/>
              </w:rPr>
              <w:t>无限</w:t>
            </w:r>
            <w:proofErr w:type="gramStart"/>
            <w:r>
              <w:rPr>
                <w:rFonts w:ascii="Times New Roman" w:hAnsi="Times New Roman" w:hint="eastAsia"/>
                <w:color w:val="000000"/>
                <w:kern w:val="0"/>
                <w:szCs w:val="21"/>
              </w:rPr>
              <w:t>售条件</w:t>
            </w:r>
            <w:proofErr w:type="gramEnd"/>
            <w:r>
              <w:rPr>
                <w:rFonts w:ascii="Times New Roman" w:hAnsi="Times New Roman" w:hint="eastAsia"/>
                <w:color w:val="000000"/>
                <w:kern w:val="0"/>
                <w:szCs w:val="21"/>
              </w:rPr>
              <w:t>流通股</w:t>
            </w:r>
          </w:p>
        </w:tc>
        <w:tc>
          <w:tcPr>
            <w:tcW w:w="1560" w:type="dxa"/>
            <w:vAlign w:val="center"/>
          </w:tcPr>
          <w:p w14:paraId="03E8445F" w14:textId="77777777" w:rsidR="006352B2" w:rsidRPr="009873A4" w:rsidRDefault="0014139A">
            <w:pPr>
              <w:autoSpaceDE w:val="0"/>
              <w:autoSpaceDN w:val="0"/>
              <w:adjustRightInd w:val="0"/>
              <w:snapToGrid w:val="0"/>
              <w:spacing w:line="400" w:lineRule="exact"/>
              <w:jc w:val="center"/>
              <w:rPr>
                <w:rFonts w:ascii="Times New Roman" w:hAnsi="Times New Roman"/>
                <w:color w:val="000000"/>
                <w:kern w:val="0"/>
                <w:szCs w:val="21"/>
              </w:rPr>
            </w:pPr>
            <w:r w:rsidRPr="009873A4">
              <w:rPr>
                <w:rFonts w:ascii="Times New Roman" w:hAnsi="Times New Roman" w:hint="eastAsia"/>
                <w:color w:val="000000"/>
                <w:kern w:val="0"/>
                <w:szCs w:val="21"/>
              </w:rPr>
              <w:t>323,904,473</w:t>
            </w:r>
          </w:p>
        </w:tc>
        <w:tc>
          <w:tcPr>
            <w:tcW w:w="990" w:type="dxa"/>
            <w:vAlign w:val="center"/>
          </w:tcPr>
          <w:p w14:paraId="48D5F264" w14:textId="77777777" w:rsidR="006352B2" w:rsidRPr="009873A4" w:rsidRDefault="0014139A">
            <w:pPr>
              <w:autoSpaceDE w:val="0"/>
              <w:autoSpaceDN w:val="0"/>
              <w:adjustRightInd w:val="0"/>
              <w:snapToGrid w:val="0"/>
              <w:spacing w:line="400" w:lineRule="exact"/>
              <w:jc w:val="center"/>
              <w:rPr>
                <w:rFonts w:ascii="Times New Roman" w:hAnsi="Times New Roman"/>
                <w:color w:val="000000"/>
                <w:kern w:val="0"/>
                <w:szCs w:val="21"/>
              </w:rPr>
            </w:pPr>
            <w:r w:rsidRPr="009873A4">
              <w:rPr>
                <w:rFonts w:ascii="Times New Roman" w:hAnsi="Times New Roman" w:hint="eastAsia"/>
                <w:color w:val="000000"/>
                <w:kern w:val="0"/>
                <w:szCs w:val="21"/>
              </w:rPr>
              <w:t>55.25%</w:t>
            </w:r>
          </w:p>
        </w:tc>
        <w:tc>
          <w:tcPr>
            <w:tcW w:w="1500" w:type="dxa"/>
            <w:vAlign w:val="center"/>
          </w:tcPr>
          <w:p w14:paraId="2E555A83" w14:textId="5C1937D9" w:rsidR="006352B2" w:rsidRPr="009873A4" w:rsidRDefault="002940CE" w:rsidP="00B64FEC">
            <w:pPr>
              <w:autoSpaceDE w:val="0"/>
              <w:autoSpaceDN w:val="0"/>
              <w:adjustRightInd w:val="0"/>
              <w:snapToGrid w:val="0"/>
              <w:spacing w:line="400" w:lineRule="exact"/>
              <w:jc w:val="center"/>
              <w:rPr>
                <w:rFonts w:ascii="Times New Roman" w:hAnsi="Times New Roman"/>
                <w:color w:val="000000"/>
                <w:kern w:val="0"/>
                <w:szCs w:val="21"/>
              </w:rPr>
            </w:pPr>
            <w:r w:rsidRPr="009873A4">
              <w:rPr>
                <w:rFonts w:ascii="Times New Roman" w:hAnsi="Times New Roman" w:hint="eastAsia"/>
                <w:color w:val="000000"/>
                <w:kern w:val="0"/>
                <w:szCs w:val="21"/>
              </w:rPr>
              <w:t>326,929,973</w:t>
            </w:r>
          </w:p>
        </w:tc>
        <w:tc>
          <w:tcPr>
            <w:tcW w:w="1031" w:type="dxa"/>
            <w:vAlign w:val="center"/>
          </w:tcPr>
          <w:p w14:paraId="0618EAD2" w14:textId="19FBC867" w:rsidR="006352B2" w:rsidRPr="009873A4" w:rsidRDefault="0014139A" w:rsidP="002940CE">
            <w:pPr>
              <w:autoSpaceDE w:val="0"/>
              <w:autoSpaceDN w:val="0"/>
              <w:adjustRightInd w:val="0"/>
              <w:snapToGrid w:val="0"/>
              <w:spacing w:line="400" w:lineRule="exact"/>
              <w:jc w:val="center"/>
              <w:rPr>
                <w:rFonts w:ascii="Times New Roman" w:hAnsi="Times New Roman"/>
                <w:color w:val="000000"/>
                <w:kern w:val="0"/>
                <w:szCs w:val="21"/>
              </w:rPr>
            </w:pPr>
            <w:r w:rsidRPr="009873A4">
              <w:rPr>
                <w:rFonts w:ascii="Times New Roman" w:hAnsi="Times New Roman" w:hint="eastAsia"/>
                <w:color w:val="000000"/>
                <w:kern w:val="0"/>
                <w:szCs w:val="21"/>
              </w:rPr>
              <w:t>56.2</w:t>
            </w:r>
            <w:r w:rsidR="002940CE" w:rsidRPr="009873A4">
              <w:rPr>
                <w:rFonts w:ascii="Times New Roman" w:hAnsi="Times New Roman" w:hint="eastAsia"/>
                <w:color w:val="000000"/>
                <w:kern w:val="0"/>
                <w:szCs w:val="21"/>
              </w:rPr>
              <w:t>7</w:t>
            </w:r>
            <w:r w:rsidRPr="009873A4">
              <w:rPr>
                <w:rFonts w:ascii="Times New Roman" w:hAnsi="Times New Roman" w:hint="eastAsia"/>
                <w:color w:val="000000"/>
                <w:kern w:val="0"/>
                <w:szCs w:val="21"/>
              </w:rPr>
              <w:t>%</w:t>
            </w:r>
          </w:p>
        </w:tc>
      </w:tr>
    </w:tbl>
    <w:p w14:paraId="404359DB" w14:textId="77777777" w:rsidR="006352B2" w:rsidRDefault="0014139A" w:rsidP="002940CE">
      <w:pPr>
        <w:autoSpaceDE w:val="0"/>
        <w:autoSpaceDN w:val="0"/>
        <w:adjustRightInd w:val="0"/>
        <w:snapToGrid w:val="0"/>
        <w:spacing w:beforeLines="50" w:before="156" w:line="520" w:lineRule="atLeast"/>
        <w:ind w:firstLineChars="200" w:firstLine="482"/>
        <w:rPr>
          <w:rFonts w:ascii="Times New Roman" w:hAnsi="Times New Roman"/>
          <w:b/>
          <w:bCs/>
          <w:color w:val="000000"/>
          <w:kern w:val="0"/>
          <w:sz w:val="24"/>
          <w:szCs w:val="24"/>
        </w:rPr>
      </w:pPr>
      <w:r>
        <w:rPr>
          <w:rFonts w:ascii="Times New Roman" w:hAnsi="Times New Roman" w:hint="eastAsia"/>
          <w:b/>
          <w:bCs/>
          <w:color w:val="000000"/>
          <w:kern w:val="0"/>
          <w:sz w:val="24"/>
          <w:szCs w:val="24"/>
        </w:rPr>
        <w:t>二</w:t>
      </w:r>
      <w:r>
        <w:rPr>
          <w:rFonts w:ascii="Times New Roman" w:hAnsi="Times New Roman"/>
          <w:b/>
          <w:bCs/>
          <w:color w:val="000000"/>
          <w:kern w:val="0"/>
          <w:sz w:val="24"/>
          <w:szCs w:val="24"/>
        </w:rPr>
        <w:t>、其他</w:t>
      </w:r>
      <w:r>
        <w:rPr>
          <w:rFonts w:ascii="Times New Roman" w:hAnsi="Times New Roman" w:hint="eastAsia"/>
          <w:b/>
          <w:bCs/>
          <w:color w:val="000000"/>
          <w:kern w:val="0"/>
          <w:sz w:val="24"/>
          <w:szCs w:val="24"/>
        </w:rPr>
        <w:t>情况</w:t>
      </w:r>
      <w:r>
        <w:rPr>
          <w:rFonts w:ascii="Times New Roman" w:hAnsi="Times New Roman"/>
          <w:b/>
          <w:bCs/>
          <w:color w:val="000000"/>
          <w:kern w:val="0"/>
          <w:sz w:val="24"/>
          <w:szCs w:val="24"/>
        </w:rPr>
        <w:t>说明</w:t>
      </w:r>
      <w:r>
        <w:rPr>
          <w:rFonts w:ascii="Times New Roman" w:hAnsi="Times New Roman"/>
          <w:b/>
          <w:bCs/>
          <w:color w:val="000000"/>
          <w:kern w:val="0"/>
          <w:sz w:val="24"/>
          <w:szCs w:val="24"/>
        </w:rPr>
        <w:t xml:space="preserve"> </w:t>
      </w:r>
    </w:p>
    <w:p w14:paraId="07A2CF39" w14:textId="77777777" w:rsidR="006352B2" w:rsidRDefault="0014139A">
      <w:pPr>
        <w:autoSpaceDE w:val="0"/>
        <w:autoSpaceDN w:val="0"/>
        <w:adjustRightInd w:val="0"/>
        <w:snapToGrid w:val="0"/>
        <w:spacing w:line="520" w:lineRule="atLeast"/>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（一）上述权益变动情况不会影响公司的上市地位，不会导致公司控股股东及实际控制人发生变化，</w:t>
      </w:r>
      <w:r>
        <w:rPr>
          <w:rFonts w:ascii="宋体" w:hAnsi="宋体" w:cs="仿宋_GB2312" w:hint="eastAsia"/>
          <w:color w:val="000000"/>
          <w:sz w:val="24"/>
          <w:szCs w:val="24"/>
        </w:rPr>
        <w:t>未触及要约收购</w:t>
      </w:r>
      <w:r>
        <w:rPr>
          <w:rFonts w:ascii="Times New Roman" w:hAnsi="Times New Roman" w:hint="eastAsia"/>
          <w:color w:val="000000"/>
          <w:kern w:val="0"/>
          <w:sz w:val="24"/>
          <w:szCs w:val="24"/>
        </w:rPr>
        <w:t>。</w:t>
      </w:r>
    </w:p>
    <w:p w14:paraId="1665982F" w14:textId="77777777" w:rsidR="006352B2" w:rsidRDefault="0014139A">
      <w:pPr>
        <w:autoSpaceDE w:val="0"/>
        <w:autoSpaceDN w:val="0"/>
        <w:adjustRightInd w:val="0"/>
        <w:snapToGrid w:val="0"/>
        <w:spacing w:line="520" w:lineRule="atLeas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hint="eastAsia"/>
          <w:color w:val="000000"/>
          <w:kern w:val="0"/>
          <w:sz w:val="24"/>
          <w:szCs w:val="24"/>
        </w:rPr>
        <w:t>二</w:t>
      </w:r>
      <w:r>
        <w:rPr>
          <w:rFonts w:ascii="Times New Roman" w:hAnsi="Times New Roman"/>
          <w:color w:val="000000"/>
          <w:kern w:val="0"/>
          <w:sz w:val="24"/>
          <w:szCs w:val="24"/>
        </w:rPr>
        <w:t>）本次权益变动涉及增持股份计划，</w:t>
      </w:r>
      <w:r>
        <w:rPr>
          <w:rFonts w:ascii="Times New Roman" w:hAnsi="Times New Roman" w:hint="eastAsia"/>
          <w:color w:val="000000"/>
          <w:kern w:val="0"/>
          <w:sz w:val="24"/>
          <w:szCs w:val="24"/>
        </w:rPr>
        <w:t>具体情况详见</w:t>
      </w:r>
      <w:r>
        <w:rPr>
          <w:rFonts w:ascii="Times New Roman" w:hAnsi="Times New Roman"/>
          <w:color w:val="000000"/>
          <w:kern w:val="0"/>
          <w:sz w:val="24"/>
          <w:szCs w:val="24"/>
        </w:rPr>
        <w:t>公司于</w:t>
      </w:r>
      <w:r>
        <w:rPr>
          <w:rFonts w:ascii="Times New Roman" w:hAnsi="Times New Roman"/>
          <w:color w:val="000000"/>
          <w:kern w:val="0"/>
          <w:sz w:val="24"/>
          <w:szCs w:val="24"/>
        </w:rPr>
        <w:t>202</w:t>
      </w:r>
      <w:r>
        <w:rPr>
          <w:rFonts w:ascii="Times New Roman" w:hAnsi="Times New Roman" w:hint="eastAsia"/>
          <w:color w:val="000000"/>
          <w:kern w:val="0"/>
          <w:sz w:val="24"/>
          <w:szCs w:val="24"/>
        </w:rPr>
        <w:t>4</w:t>
      </w:r>
      <w:r>
        <w:rPr>
          <w:rFonts w:ascii="Times New Roman" w:hAnsi="Times New Roman"/>
          <w:color w:val="000000"/>
          <w:kern w:val="0"/>
          <w:sz w:val="24"/>
          <w:szCs w:val="24"/>
        </w:rPr>
        <w:t>年</w:t>
      </w:r>
      <w:r>
        <w:rPr>
          <w:rFonts w:ascii="Times New Roman" w:hAnsi="Times New Roman" w:hint="eastAsia"/>
          <w:color w:val="000000"/>
          <w:kern w:val="0"/>
          <w:sz w:val="24"/>
          <w:szCs w:val="24"/>
        </w:rPr>
        <w:t>8</w:t>
      </w:r>
      <w:r>
        <w:rPr>
          <w:rFonts w:ascii="Times New Roman" w:hAnsi="Times New Roman"/>
          <w:color w:val="000000"/>
          <w:kern w:val="0"/>
          <w:sz w:val="24"/>
          <w:szCs w:val="24"/>
        </w:rPr>
        <w:t>月</w:t>
      </w:r>
      <w:r>
        <w:rPr>
          <w:rFonts w:ascii="Times New Roman" w:hAnsi="Times New Roman" w:hint="eastAsia"/>
          <w:color w:val="000000"/>
          <w:kern w:val="0"/>
          <w:sz w:val="24"/>
          <w:szCs w:val="24"/>
        </w:rPr>
        <w:t>22</w:t>
      </w:r>
      <w:r>
        <w:rPr>
          <w:rFonts w:ascii="Times New Roman" w:hAnsi="Times New Roman"/>
          <w:color w:val="000000"/>
          <w:kern w:val="0"/>
          <w:sz w:val="24"/>
          <w:szCs w:val="24"/>
        </w:rPr>
        <w:t>日在上海证券交易所网站（</w:t>
      </w:r>
      <w:r>
        <w:rPr>
          <w:rFonts w:ascii="Times New Roman" w:hAnsi="Times New Roman"/>
          <w:color w:val="000000"/>
          <w:kern w:val="0"/>
          <w:sz w:val="24"/>
          <w:szCs w:val="24"/>
        </w:rPr>
        <w:t>www.sse.com.cn</w:t>
      </w:r>
      <w:r>
        <w:rPr>
          <w:rFonts w:ascii="Times New Roman" w:hAnsi="Times New Roman"/>
          <w:color w:val="000000"/>
          <w:kern w:val="0"/>
          <w:sz w:val="24"/>
          <w:szCs w:val="24"/>
        </w:rPr>
        <w:t>）披露的</w:t>
      </w:r>
      <w:r>
        <w:rPr>
          <w:rFonts w:ascii="Times New Roman" w:hAnsi="Times New Roman" w:hint="eastAsia"/>
          <w:color w:val="000000"/>
          <w:kern w:val="0"/>
          <w:sz w:val="24"/>
          <w:szCs w:val="24"/>
        </w:rPr>
        <w:t>《安图生物关于控股股东增持公司股份暨后续增持计划的公告》（公告编号：</w:t>
      </w:r>
      <w:r>
        <w:rPr>
          <w:rFonts w:ascii="Times New Roman" w:hAnsi="Times New Roman" w:hint="eastAsia"/>
          <w:color w:val="000000"/>
          <w:kern w:val="0"/>
          <w:sz w:val="24"/>
          <w:szCs w:val="24"/>
        </w:rPr>
        <w:t>2024-061</w:t>
      </w:r>
      <w:r>
        <w:rPr>
          <w:rFonts w:ascii="Times New Roman" w:hAnsi="Times New Roman" w:hint="eastAsia"/>
          <w:color w:val="000000"/>
          <w:kern w:val="0"/>
          <w:sz w:val="24"/>
          <w:szCs w:val="24"/>
        </w:rPr>
        <w:t>）</w:t>
      </w:r>
      <w:r>
        <w:rPr>
          <w:rFonts w:ascii="Times New Roman" w:hAnsi="Times New Roman"/>
          <w:color w:val="000000"/>
          <w:kern w:val="0"/>
          <w:sz w:val="24"/>
          <w:szCs w:val="24"/>
        </w:rPr>
        <w:t>。</w:t>
      </w:r>
      <w:r>
        <w:rPr>
          <w:rFonts w:ascii="Times New Roman" w:hAnsi="Times New Roman"/>
          <w:color w:val="000000"/>
          <w:kern w:val="0"/>
          <w:sz w:val="24"/>
          <w:szCs w:val="24"/>
        </w:rPr>
        <w:t xml:space="preserve"> </w:t>
      </w:r>
    </w:p>
    <w:p w14:paraId="7EF5F508" w14:textId="77777777" w:rsidR="006352B2" w:rsidRDefault="0014139A">
      <w:pPr>
        <w:autoSpaceDE w:val="0"/>
        <w:autoSpaceDN w:val="0"/>
        <w:adjustRightInd w:val="0"/>
        <w:snapToGrid w:val="0"/>
        <w:spacing w:line="520" w:lineRule="atLeas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hint="eastAsia"/>
          <w:color w:val="000000"/>
          <w:kern w:val="0"/>
          <w:sz w:val="24"/>
          <w:szCs w:val="24"/>
        </w:rPr>
        <w:t>三</w:t>
      </w:r>
      <w:r>
        <w:rPr>
          <w:rFonts w:ascii="Times New Roman" w:hAnsi="Times New Roman"/>
          <w:color w:val="000000"/>
          <w:kern w:val="0"/>
          <w:sz w:val="24"/>
          <w:szCs w:val="24"/>
        </w:rPr>
        <w:t>）根据《上市公司收购管理办法》等相关规定，本次权益变动不涉及披露权益变动报告书的情形</w:t>
      </w:r>
      <w:r>
        <w:rPr>
          <w:rFonts w:ascii="Times New Roman" w:hAnsi="Times New Roman" w:hint="eastAsia"/>
          <w:color w:val="000000"/>
          <w:kern w:val="0"/>
          <w:sz w:val="24"/>
          <w:szCs w:val="24"/>
        </w:rPr>
        <w:t>。</w:t>
      </w:r>
    </w:p>
    <w:p w14:paraId="5165A38C" w14:textId="77777777" w:rsidR="006352B2" w:rsidRDefault="0014139A" w:rsidP="002940CE">
      <w:pPr>
        <w:autoSpaceDE w:val="0"/>
        <w:autoSpaceDN w:val="0"/>
        <w:adjustRightInd w:val="0"/>
        <w:snapToGrid w:val="0"/>
        <w:spacing w:beforeLines="50" w:before="156" w:line="520" w:lineRule="atLeas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lastRenderedPageBreak/>
        <w:t>特此公告。</w:t>
      </w:r>
    </w:p>
    <w:p w14:paraId="2B61B198" w14:textId="77777777" w:rsidR="006352B2" w:rsidRPr="009873A4" w:rsidRDefault="0014139A">
      <w:pPr>
        <w:autoSpaceDE w:val="0"/>
        <w:autoSpaceDN w:val="0"/>
        <w:adjustRightInd w:val="0"/>
        <w:snapToGrid w:val="0"/>
        <w:spacing w:line="520" w:lineRule="atLeast"/>
        <w:ind w:firstLineChars="200" w:firstLine="480"/>
        <w:jc w:val="right"/>
        <w:rPr>
          <w:rFonts w:ascii="Times New Roman" w:hAnsi="Times New Roman"/>
          <w:color w:val="000000"/>
          <w:kern w:val="0"/>
          <w:sz w:val="24"/>
          <w:szCs w:val="24"/>
        </w:rPr>
      </w:pPr>
      <w:r>
        <w:rPr>
          <w:rFonts w:ascii="Times New Roman" w:hAnsi="Times New Roman"/>
          <w:color w:val="000000"/>
          <w:kern w:val="0"/>
          <w:sz w:val="24"/>
          <w:szCs w:val="24"/>
        </w:rPr>
        <w:t>郑州安图</w:t>
      </w:r>
      <w:r w:rsidRPr="009873A4">
        <w:rPr>
          <w:rFonts w:ascii="Times New Roman" w:hAnsi="Times New Roman"/>
          <w:color w:val="000000"/>
          <w:kern w:val="0"/>
          <w:sz w:val="24"/>
          <w:szCs w:val="24"/>
        </w:rPr>
        <w:t>生物工程股份有限公司董事会</w:t>
      </w:r>
    </w:p>
    <w:p w14:paraId="0659C197" w14:textId="32C094A8" w:rsidR="006352B2" w:rsidRDefault="0014139A">
      <w:pPr>
        <w:autoSpaceDE w:val="0"/>
        <w:autoSpaceDN w:val="0"/>
        <w:adjustRightInd w:val="0"/>
        <w:snapToGrid w:val="0"/>
        <w:spacing w:line="520" w:lineRule="atLeast"/>
        <w:ind w:firstLineChars="200" w:firstLine="480"/>
        <w:jc w:val="center"/>
        <w:rPr>
          <w:rFonts w:ascii="Times New Roman" w:hAnsi="Times New Roman"/>
        </w:rPr>
      </w:pPr>
      <w:r w:rsidRPr="009873A4">
        <w:rPr>
          <w:rFonts w:ascii="Times New Roman" w:hAnsi="Times New Roman"/>
          <w:color w:val="000000"/>
          <w:kern w:val="0"/>
          <w:sz w:val="24"/>
          <w:szCs w:val="24"/>
        </w:rPr>
        <w:t xml:space="preserve">                                     2024</w:t>
      </w:r>
      <w:r w:rsidRPr="009873A4">
        <w:rPr>
          <w:rFonts w:ascii="Times New Roman" w:hAnsi="Times New Roman"/>
          <w:color w:val="000000"/>
          <w:kern w:val="0"/>
          <w:sz w:val="24"/>
          <w:szCs w:val="24"/>
        </w:rPr>
        <w:t>年</w:t>
      </w:r>
      <w:r w:rsidR="009A0D1C" w:rsidRPr="009873A4">
        <w:rPr>
          <w:rFonts w:ascii="Times New Roman" w:hAnsi="Times New Roman" w:hint="eastAsia"/>
          <w:color w:val="000000"/>
          <w:kern w:val="0"/>
          <w:sz w:val="24"/>
          <w:szCs w:val="24"/>
        </w:rPr>
        <w:t>8</w:t>
      </w:r>
      <w:r w:rsidRPr="009873A4">
        <w:rPr>
          <w:rFonts w:ascii="Times New Roman" w:hAnsi="Times New Roman"/>
          <w:color w:val="000000"/>
          <w:kern w:val="0"/>
          <w:sz w:val="24"/>
          <w:szCs w:val="24"/>
        </w:rPr>
        <w:t>月</w:t>
      </w:r>
      <w:r w:rsidR="00856A7A" w:rsidRPr="009873A4">
        <w:rPr>
          <w:rFonts w:ascii="Times New Roman" w:hAnsi="Times New Roman" w:hint="eastAsia"/>
          <w:color w:val="000000"/>
          <w:kern w:val="0"/>
          <w:sz w:val="24"/>
          <w:szCs w:val="24"/>
        </w:rPr>
        <w:t>2</w:t>
      </w:r>
      <w:r w:rsidR="006011C7">
        <w:rPr>
          <w:rFonts w:ascii="Times New Roman" w:hAnsi="Times New Roman" w:hint="eastAsia"/>
          <w:color w:val="000000"/>
          <w:kern w:val="0"/>
          <w:sz w:val="24"/>
          <w:szCs w:val="24"/>
        </w:rPr>
        <w:t>8</w:t>
      </w:r>
      <w:r w:rsidRPr="009873A4">
        <w:rPr>
          <w:rFonts w:ascii="Times New Roman" w:hAnsi="Times New Roman"/>
          <w:color w:val="000000"/>
          <w:kern w:val="0"/>
          <w:sz w:val="24"/>
          <w:szCs w:val="24"/>
        </w:rPr>
        <w:t>日</w:t>
      </w:r>
    </w:p>
    <w:sectPr w:rsidR="006352B2">
      <w:pgSz w:w="11906" w:h="16838"/>
      <w:pgMar w:top="1383" w:right="1800" w:bottom="1383"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8BD85" w14:textId="77777777" w:rsidR="007B1F9C" w:rsidRDefault="007B1F9C" w:rsidP="002940CE">
      <w:r>
        <w:separator/>
      </w:r>
    </w:p>
  </w:endnote>
  <w:endnote w:type="continuationSeparator" w:id="0">
    <w:p w14:paraId="65C84811" w14:textId="77777777" w:rsidR="007B1F9C" w:rsidRDefault="007B1F9C" w:rsidP="0029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CDD93" w14:textId="77777777" w:rsidR="007B1F9C" w:rsidRDefault="007B1F9C" w:rsidP="002940CE">
      <w:r>
        <w:separator/>
      </w:r>
    </w:p>
  </w:footnote>
  <w:footnote w:type="continuationSeparator" w:id="0">
    <w:p w14:paraId="24326053" w14:textId="77777777" w:rsidR="007B1F9C" w:rsidRDefault="007B1F9C" w:rsidP="00294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43B1F"/>
    <w:multiLevelType w:val="singleLevel"/>
    <w:tmpl w:val="B2C43B1F"/>
    <w:lvl w:ilvl="0">
      <w:start w:val="1"/>
      <w:numFmt w:val="chineseCounting"/>
      <w:suff w:val="nothing"/>
      <w:lvlText w:val="%1、"/>
      <w:lvlJc w:val="left"/>
      <w:rPr>
        <w:rFonts w:hint="eastAsia"/>
      </w:rPr>
    </w:lvl>
  </w:abstractNum>
  <w:abstractNum w:abstractNumId="1">
    <w:nsid w:val="38030EAA"/>
    <w:multiLevelType w:val="multilevel"/>
    <w:tmpl w:val="38030EAA"/>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39385A0C"/>
    <w:multiLevelType w:val="multilevel"/>
    <w:tmpl w:val="39385A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MGFkNGVkYmI2MmZhOGU3ZTBiYjAxMGQ3ZmRkN2EifQ=="/>
  </w:docVars>
  <w:rsids>
    <w:rsidRoot w:val="5F822E1B"/>
    <w:rsid w:val="00034AA8"/>
    <w:rsid w:val="0014139A"/>
    <w:rsid w:val="00197FC0"/>
    <w:rsid w:val="001B4422"/>
    <w:rsid w:val="001C5FFE"/>
    <w:rsid w:val="00200A7B"/>
    <w:rsid w:val="002940CE"/>
    <w:rsid w:val="006011C7"/>
    <w:rsid w:val="006352B2"/>
    <w:rsid w:val="00726C13"/>
    <w:rsid w:val="007B1F9C"/>
    <w:rsid w:val="00856A7A"/>
    <w:rsid w:val="00886EE7"/>
    <w:rsid w:val="00930E5D"/>
    <w:rsid w:val="009873A4"/>
    <w:rsid w:val="009A0D1C"/>
    <w:rsid w:val="009D2F24"/>
    <w:rsid w:val="00AA2EC1"/>
    <w:rsid w:val="00B64FEC"/>
    <w:rsid w:val="00B7708C"/>
    <w:rsid w:val="00C841C9"/>
    <w:rsid w:val="00DE3D6C"/>
    <w:rsid w:val="00E228DF"/>
    <w:rsid w:val="00FB1EEB"/>
    <w:rsid w:val="00FC6B0A"/>
    <w:rsid w:val="010A673B"/>
    <w:rsid w:val="010B0007"/>
    <w:rsid w:val="010C1E89"/>
    <w:rsid w:val="013C1564"/>
    <w:rsid w:val="015805A4"/>
    <w:rsid w:val="015E4388"/>
    <w:rsid w:val="016937F4"/>
    <w:rsid w:val="01AF748E"/>
    <w:rsid w:val="01F36A11"/>
    <w:rsid w:val="02230D4D"/>
    <w:rsid w:val="02410185"/>
    <w:rsid w:val="03086528"/>
    <w:rsid w:val="03303D03"/>
    <w:rsid w:val="033C14D1"/>
    <w:rsid w:val="036A737F"/>
    <w:rsid w:val="03A72FCC"/>
    <w:rsid w:val="04010A34"/>
    <w:rsid w:val="040A1BC2"/>
    <w:rsid w:val="043C7762"/>
    <w:rsid w:val="0458346C"/>
    <w:rsid w:val="047616DE"/>
    <w:rsid w:val="047634D5"/>
    <w:rsid w:val="04BC77D2"/>
    <w:rsid w:val="04D04F1D"/>
    <w:rsid w:val="050710E5"/>
    <w:rsid w:val="051916BB"/>
    <w:rsid w:val="0551545E"/>
    <w:rsid w:val="055D1BDB"/>
    <w:rsid w:val="05966C5A"/>
    <w:rsid w:val="05C344DC"/>
    <w:rsid w:val="061F3C17"/>
    <w:rsid w:val="0655116C"/>
    <w:rsid w:val="06AB255A"/>
    <w:rsid w:val="06D252A4"/>
    <w:rsid w:val="06F432D1"/>
    <w:rsid w:val="07374092"/>
    <w:rsid w:val="073B5C2A"/>
    <w:rsid w:val="076171F5"/>
    <w:rsid w:val="07836382"/>
    <w:rsid w:val="078E6288"/>
    <w:rsid w:val="07CF4B7B"/>
    <w:rsid w:val="08036DDA"/>
    <w:rsid w:val="08873214"/>
    <w:rsid w:val="088A337B"/>
    <w:rsid w:val="08950AD1"/>
    <w:rsid w:val="08EE3D9D"/>
    <w:rsid w:val="08F94FE3"/>
    <w:rsid w:val="09074FBA"/>
    <w:rsid w:val="09674AFA"/>
    <w:rsid w:val="096D3D2E"/>
    <w:rsid w:val="098B4416"/>
    <w:rsid w:val="09DF23D1"/>
    <w:rsid w:val="09E20A8F"/>
    <w:rsid w:val="0A8D4F11"/>
    <w:rsid w:val="0AB21718"/>
    <w:rsid w:val="0AD873BA"/>
    <w:rsid w:val="0B2C1BAE"/>
    <w:rsid w:val="0B3467BB"/>
    <w:rsid w:val="0B464720"/>
    <w:rsid w:val="0B5E5DA3"/>
    <w:rsid w:val="0B804708"/>
    <w:rsid w:val="0BE266B8"/>
    <w:rsid w:val="0BF363F5"/>
    <w:rsid w:val="0BFC7F3A"/>
    <w:rsid w:val="0C385F03"/>
    <w:rsid w:val="0C504614"/>
    <w:rsid w:val="0C5E1ACB"/>
    <w:rsid w:val="0C6558B9"/>
    <w:rsid w:val="0C9E047D"/>
    <w:rsid w:val="0D051467"/>
    <w:rsid w:val="0D055A3D"/>
    <w:rsid w:val="0D43262D"/>
    <w:rsid w:val="0DA61E63"/>
    <w:rsid w:val="0E0B76CC"/>
    <w:rsid w:val="0E20118F"/>
    <w:rsid w:val="0E496100"/>
    <w:rsid w:val="0E7D26F1"/>
    <w:rsid w:val="0E820182"/>
    <w:rsid w:val="0E9F5977"/>
    <w:rsid w:val="0EB3301D"/>
    <w:rsid w:val="0ED015C6"/>
    <w:rsid w:val="0F313B30"/>
    <w:rsid w:val="0F395CBA"/>
    <w:rsid w:val="0F8275CB"/>
    <w:rsid w:val="0F881483"/>
    <w:rsid w:val="0F9F3E98"/>
    <w:rsid w:val="0FA70E3F"/>
    <w:rsid w:val="0FCE56D3"/>
    <w:rsid w:val="10447A21"/>
    <w:rsid w:val="105F6295"/>
    <w:rsid w:val="108279F4"/>
    <w:rsid w:val="10A87FC6"/>
    <w:rsid w:val="10B02E96"/>
    <w:rsid w:val="10CE71E0"/>
    <w:rsid w:val="11376A96"/>
    <w:rsid w:val="117B1B59"/>
    <w:rsid w:val="118A7DFC"/>
    <w:rsid w:val="11AA6E55"/>
    <w:rsid w:val="11C350CF"/>
    <w:rsid w:val="11D83E19"/>
    <w:rsid w:val="123220DF"/>
    <w:rsid w:val="12472FD8"/>
    <w:rsid w:val="129902A2"/>
    <w:rsid w:val="129D6301"/>
    <w:rsid w:val="12C17068"/>
    <w:rsid w:val="12C66FCA"/>
    <w:rsid w:val="131E6BFF"/>
    <w:rsid w:val="13213DA1"/>
    <w:rsid w:val="137F7419"/>
    <w:rsid w:val="13F93FD1"/>
    <w:rsid w:val="140F02C4"/>
    <w:rsid w:val="14307BD7"/>
    <w:rsid w:val="14455411"/>
    <w:rsid w:val="148D408E"/>
    <w:rsid w:val="14AB1A05"/>
    <w:rsid w:val="14AB6C5F"/>
    <w:rsid w:val="14CA71C0"/>
    <w:rsid w:val="14CE3D93"/>
    <w:rsid w:val="14D63B01"/>
    <w:rsid w:val="14E744AA"/>
    <w:rsid w:val="15191F98"/>
    <w:rsid w:val="15656A41"/>
    <w:rsid w:val="15B1435F"/>
    <w:rsid w:val="15D138FF"/>
    <w:rsid w:val="15EF3F79"/>
    <w:rsid w:val="16080BB3"/>
    <w:rsid w:val="16096003"/>
    <w:rsid w:val="164757ED"/>
    <w:rsid w:val="16602A79"/>
    <w:rsid w:val="16737868"/>
    <w:rsid w:val="168E2390"/>
    <w:rsid w:val="16A5500E"/>
    <w:rsid w:val="16C648CA"/>
    <w:rsid w:val="16CA497C"/>
    <w:rsid w:val="16D875B0"/>
    <w:rsid w:val="17104193"/>
    <w:rsid w:val="171E709C"/>
    <w:rsid w:val="171F186D"/>
    <w:rsid w:val="1725344C"/>
    <w:rsid w:val="173919F5"/>
    <w:rsid w:val="17420E5C"/>
    <w:rsid w:val="176F0BC6"/>
    <w:rsid w:val="17A07139"/>
    <w:rsid w:val="17BD7577"/>
    <w:rsid w:val="17D138ED"/>
    <w:rsid w:val="17F077A7"/>
    <w:rsid w:val="17F43191"/>
    <w:rsid w:val="18322BDA"/>
    <w:rsid w:val="18341AE1"/>
    <w:rsid w:val="18B675E8"/>
    <w:rsid w:val="18BB5689"/>
    <w:rsid w:val="18D73FD2"/>
    <w:rsid w:val="19171E4A"/>
    <w:rsid w:val="192B6210"/>
    <w:rsid w:val="193C6B19"/>
    <w:rsid w:val="194F281B"/>
    <w:rsid w:val="19747E0A"/>
    <w:rsid w:val="19917056"/>
    <w:rsid w:val="19AE7CED"/>
    <w:rsid w:val="19E45FB8"/>
    <w:rsid w:val="19F8605E"/>
    <w:rsid w:val="1A1E71DC"/>
    <w:rsid w:val="1A3E5780"/>
    <w:rsid w:val="1A492C35"/>
    <w:rsid w:val="1A6F2A4C"/>
    <w:rsid w:val="1AC63203"/>
    <w:rsid w:val="1AF60F83"/>
    <w:rsid w:val="1AFD6367"/>
    <w:rsid w:val="1B3B7FFB"/>
    <w:rsid w:val="1B8C0B80"/>
    <w:rsid w:val="1B9959AA"/>
    <w:rsid w:val="1BB356A0"/>
    <w:rsid w:val="1BFA5E55"/>
    <w:rsid w:val="1C0675EF"/>
    <w:rsid w:val="1C0E79E1"/>
    <w:rsid w:val="1C450F75"/>
    <w:rsid w:val="1C7934C0"/>
    <w:rsid w:val="1C810F11"/>
    <w:rsid w:val="1C8F49D0"/>
    <w:rsid w:val="1CEF0D55"/>
    <w:rsid w:val="1CF871A4"/>
    <w:rsid w:val="1CFB514B"/>
    <w:rsid w:val="1D00001D"/>
    <w:rsid w:val="1D1701F7"/>
    <w:rsid w:val="1D6A04BD"/>
    <w:rsid w:val="1DDB4670"/>
    <w:rsid w:val="1DDE32CC"/>
    <w:rsid w:val="1DE61863"/>
    <w:rsid w:val="1DFB3B20"/>
    <w:rsid w:val="1E16454E"/>
    <w:rsid w:val="1E493970"/>
    <w:rsid w:val="1E682865"/>
    <w:rsid w:val="1E6B4C7C"/>
    <w:rsid w:val="1E7B6F8F"/>
    <w:rsid w:val="1E86115C"/>
    <w:rsid w:val="1E8E08DA"/>
    <w:rsid w:val="1EB473A9"/>
    <w:rsid w:val="1EDA4BD4"/>
    <w:rsid w:val="1EE20D72"/>
    <w:rsid w:val="1F1511B7"/>
    <w:rsid w:val="1F462EDE"/>
    <w:rsid w:val="1F467A0F"/>
    <w:rsid w:val="1F4E2EFB"/>
    <w:rsid w:val="1F770ABB"/>
    <w:rsid w:val="1FAA06E4"/>
    <w:rsid w:val="1FAF4689"/>
    <w:rsid w:val="1FB432C9"/>
    <w:rsid w:val="1FD566E4"/>
    <w:rsid w:val="1FEA2A3B"/>
    <w:rsid w:val="2018123B"/>
    <w:rsid w:val="2029304D"/>
    <w:rsid w:val="203F4C73"/>
    <w:rsid w:val="205A07DD"/>
    <w:rsid w:val="205B26CD"/>
    <w:rsid w:val="206C3478"/>
    <w:rsid w:val="207E32DB"/>
    <w:rsid w:val="209751E0"/>
    <w:rsid w:val="20B14154"/>
    <w:rsid w:val="20C567B6"/>
    <w:rsid w:val="20DF7948"/>
    <w:rsid w:val="20F50E86"/>
    <w:rsid w:val="21197236"/>
    <w:rsid w:val="214F1724"/>
    <w:rsid w:val="21760653"/>
    <w:rsid w:val="218A4BB5"/>
    <w:rsid w:val="21AF568C"/>
    <w:rsid w:val="220120B1"/>
    <w:rsid w:val="22204559"/>
    <w:rsid w:val="228132EB"/>
    <w:rsid w:val="228D2171"/>
    <w:rsid w:val="22AC6A9F"/>
    <w:rsid w:val="22BF0B3D"/>
    <w:rsid w:val="22EF55A0"/>
    <w:rsid w:val="230E27C7"/>
    <w:rsid w:val="231E70EE"/>
    <w:rsid w:val="23424C0B"/>
    <w:rsid w:val="234D008B"/>
    <w:rsid w:val="23A111DC"/>
    <w:rsid w:val="23A150F4"/>
    <w:rsid w:val="23B43DEC"/>
    <w:rsid w:val="23CF31CD"/>
    <w:rsid w:val="23E355D4"/>
    <w:rsid w:val="240333C0"/>
    <w:rsid w:val="2405214D"/>
    <w:rsid w:val="242A6930"/>
    <w:rsid w:val="243A3E65"/>
    <w:rsid w:val="2445064E"/>
    <w:rsid w:val="245B3ADA"/>
    <w:rsid w:val="248B624F"/>
    <w:rsid w:val="24A40D8C"/>
    <w:rsid w:val="24D002C0"/>
    <w:rsid w:val="252A3F0D"/>
    <w:rsid w:val="25640E16"/>
    <w:rsid w:val="25703482"/>
    <w:rsid w:val="25A00B4C"/>
    <w:rsid w:val="25A82378"/>
    <w:rsid w:val="25CC5582"/>
    <w:rsid w:val="264130B2"/>
    <w:rsid w:val="2679090C"/>
    <w:rsid w:val="267D0C70"/>
    <w:rsid w:val="26AE5895"/>
    <w:rsid w:val="26F634AD"/>
    <w:rsid w:val="27835847"/>
    <w:rsid w:val="27DF73CD"/>
    <w:rsid w:val="27EA6BDE"/>
    <w:rsid w:val="27FD0A1A"/>
    <w:rsid w:val="28317A79"/>
    <w:rsid w:val="286A6179"/>
    <w:rsid w:val="28B618F2"/>
    <w:rsid w:val="28C87E82"/>
    <w:rsid w:val="291972D4"/>
    <w:rsid w:val="29393C54"/>
    <w:rsid w:val="294B7DE5"/>
    <w:rsid w:val="299037CA"/>
    <w:rsid w:val="29965BE3"/>
    <w:rsid w:val="29A5722F"/>
    <w:rsid w:val="29B73C0A"/>
    <w:rsid w:val="29FA6120"/>
    <w:rsid w:val="2A4A0A81"/>
    <w:rsid w:val="2A6752A1"/>
    <w:rsid w:val="2A7D06D5"/>
    <w:rsid w:val="2A9C283E"/>
    <w:rsid w:val="2AB305F3"/>
    <w:rsid w:val="2AB6541B"/>
    <w:rsid w:val="2B09144B"/>
    <w:rsid w:val="2B0B6021"/>
    <w:rsid w:val="2B1D526C"/>
    <w:rsid w:val="2B410602"/>
    <w:rsid w:val="2B596719"/>
    <w:rsid w:val="2B754750"/>
    <w:rsid w:val="2BF50370"/>
    <w:rsid w:val="2C144AEC"/>
    <w:rsid w:val="2C30569D"/>
    <w:rsid w:val="2C4457D7"/>
    <w:rsid w:val="2C623BFD"/>
    <w:rsid w:val="2C833D89"/>
    <w:rsid w:val="2C9145F9"/>
    <w:rsid w:val="2C9B50C8"/>
    <w:rsid w:val="2CCC4F42"/>
    <w:rsid w:val="2CCD3BCB"/>
    <w:rsid w:val="2CDC23CE"/>
    <w:rsid w:val="2CFF0E67"/>
    <w:rsid w:val="2D007131"/>
    <w:rsid w:val="2D3116AF"/>
    <w:rsid w:val="2D35145E"/>
    <w:rsid w:val="2D64484A"/>
    <w:rsid w:val="2D7F3DB7"/>
    <w:rsid w:val="2DB3087E"/>
    <w:rsid w:val="2DBE30C2"/>
    <w:rsid w:val="2DC343DD"/>
    <w:rsid w:val="2DD03A79"/>
    <w:rsid w:val="2DEF1878"/>
    <w:rsid w:val="2DF57B09"/>
    <w:rsid w:val="2E161D35"/>
    <w:rsid w:val="2E7A4831"/>
    <w:rsid w:val="2EA90AB3"/>
    <w:rsid w:val="2EC0405C"/>
    <w:rsid w:val="2F005429"/>
    <w:rsid w:val="2F78370D"/>
    <w:rsid w:val="2FD34AA8"/>
    <w:rsid w:val="2FDC4F92"/>
    <w:rsid w:val="2FE142B1"/>
    <w:rsid w:val="30050EBC"/>
    <w:rsid w:val="30184A9F"/>
    <w:rsid w:val="30594419"/>
    <w:rsid w:val="30624199"/>
    <w:rsid w:val="30AB3CE5"/>
    <w:rsid w:val="30DA2240"/>
    <w:rsid w:val="30EC0957"/>
    <w:rsid w:val="30F756C8"/>
    <w:rsid w:val="311838E1"/>
    <w:rsid w:val="313727F9"/>
    <w:rsid w:val="315F6741"/>
    <w:rsid w:val="317A10C4"/>
    <w:rsid w:val="31C8061D"/>
    <w:rsid w:val="32181069"/>
    <w:rsid w:val="32193EF4"/>
    <w:rsid w:val="32446D30"/>
    <w:rsid w:val="32464900"/>
    <w:rsid w:val="324B59D3"/>
    <w:rsid w:val="325178AD"/>
    <w:rsid w:val="32804831"/>
    <w:rsid w:val="32895324"/>
    <w:rsid w:val="32A06A19"/>
    <w:rsid w:val="332B06DA"/>
    <w:rsid w:val="338C4B2A"/>
    <w:rsid w:val="33904A81"/>
    <w:rsid w:val="33D33770"/>
    <w:rsid w:val="33D558DD"/>
    <w:rsid w:val="33DD1E33"/>
    <w:rsid w:val="33E90BCE"/>
    <w:rsid w:val="342823D4"/>
    <w:rsid w:val="342C2555"/>
    <w:rsid w:val="347545A1"/>
    <w:rsid w:val="34876A8A"/>
    <w:rsid w:val="349E5A6B"/>
    <w:rsid w:val="34C406A3"/>
    <w:rsid w:val="34D17E23"/>
    <w:rsid w:val="350B6C92"/>
    <w:rsid w:val="35313ED6"/>
    <w:rsid w:val="3598702C"/>
    <w:rsid w:val="35AA4A87"/>
    <w:rsid w:val="35F66AD0"/>
    <w:rsid w:val="360D1D0E"/>
    <w:rsid w:val="36223C03"/>
    <w:rsid w:val="363A0060"/>
    <w:rsid w:val="364B65FE"/>
    <w:rsid w:val="369918C5"/>
    <w:rsid w:val="36A437DF"/>
    <w:rsid w:val="36BB5929"/>
    <w:rsid w:val="36F43E3D"/>
    <w:rsid w:val="371769D6"/>
    <w:rsid w:val="372B1B80"/>
    <w:rsid w:val="372E794B"/>
    <w:rsid w:val="374F72D1"/>
    <w:rsid w:val="376A0B9C"/>
    <w:rsid w:val="37777D1C"/>
    <w:rsid w:val="37A73E39"/>
    <w:rsid w:val="37B21F7C"/>
    <w:rsid w:val="37C47C16"/>
    <w:rsid w:val="37D60FD9"/>
    <w:rsid w:val="37E43363"/>
    <w:rsid w:val="384E5507"/>
    <w:rsid w:val="38652787"/>
    <w:rsid w:val="38716B56"/>
    <w:rsid w:val="388B2178"/>
    <w:rsid w:val="389D21E1"/>
    <w:rsid w:val="38C74640"/>
    <w:rsid w:val="38C762FC"/>
    <w:rsid w:val="38DD51B6"/>
    <w:rsid w:val="39234954"/>
    <w:rsid w:val="39403F67"/>
    <w:rsid w:val="39522774"/>
    <w:rsid w:val="3955177B"/>
    <w:rsid w:val="396E2E3D"/>
    <w:rsid w:val="39AC6D3D"/>
    <w:rsid w:val="39B92D13"/>
    <w:rsid w:val="39D71396"/>
    <w:rsid w:val="39EB4B3C"/>
    <w:rsid w:val="3A1614AC"/>
    <w:rsid w:val="3A2C70BC"/>
    <w:rsid w:val="3A476F3B"/>
    <w:rsid w:val="3A4A7E22"/>
    <w:rsid w:val="3A4E6E7F"/>
    <w:rsid w:val="3AA94827"/>
    <w:rsid w:val="3AC3195A"/>
    <w:rsid w:val="3AD43830"/>
    <w:rsid w:val="3AE14504"/>
    <w:rsid w:val="3AE64341"/>
    <w:rsid w:val="3AFF4227"/>
    <w:rsid w:val="3B54713C"/>
    <w:rsid w:val="3B661ABE"/>
    <w:rsid w:val="3B921B79"/>
    <w:rsid w:val="3BE92588"/>
    <w:rsid w:val="3C7B0DB7"/>
    <w:rsid w:val="3C8E1640"/>
    <w:rsid w:val="3C976808"/>
    <w:rsid w:val="3CAE07FA"/>
    <w:rsid w:val="3CC0709E"/>
    <w:rsid w:val="3CEE6A97"/>
    <w:rsid w:val="3CEF3A27"/>
    <w:rsid w:val="3D0D2152"/>
    <w:rsid w:val="3D1F1370"/>
    <w:rsid w:val="3DB56117"/>
    <w:rsid w:val="3DE83850"/>
    <w:rsid w:val="3E322CAF"/>
    <w:rsid w:val="3E7E5157"/>
    <w:rsid w:val="3EA03E2A"/>
    <w:rsid w:val="3EAD1104"/>
    <w:rsid w:val="3EC543CE"/>
    <w:rsid w:val="3EC61C10"/>
    <w:rsid w:val="3F36328B"/>
    <w:rsid w:val="3F866CB2"/>
    <w:rsid w:val="3FAD641E"/>
    <w:rsid w:val="401210BD"/>
    <w:rsid w:val="402B317B"/>
    <w:rsid w:val="40530299"/>
    <w:rsid w:val="405A5C72"/>
    <w:rsid w:val="405F6DD9"/>
    <w:rsid w:val="40CE4719"/>
    <w:rsid w:val="40D93926"/>
    <w:rsid w:val="40FF63C6"/>
    <w:rsid w:val="416B23DB"/>
    <w:rsid w:val="41B25CFE"/>
    <w:rsid w:val="41D21B55"/>
    <w:rsid w:val="42045BC9"/>
    <w:rsid w:val="42117E61"/>
    <w:rsid w:val="42290D83"/>
    <w:rsid w:val="42425C8D"/>
    <w:rsid w:val="428D0912"/>
    <w:rsid w:val="42B93399"/>
    <w:rsid w:val="42CE45B8"/>
    <w:rsid w:val="42FF2F6A"/>
    <w:rsid w:val="43015894"/>
    <w:rsid w:val="43297EE1"/>
    <w:rsid w:val="433A3E46"/>
    <w:rsid w:val="438D4525"/>
    <w:rsid w:val="43967896"/>
    <w:rsid w:val="43A61208"/>
    <w:rsid w:val="43BC1FEC"/>
    <w:rsid w:val="43BD4392"/>
    <w:rsid w:val="43C62189"/>
    <w:rsid w:val="43F87784"/>
    <w:rsid w:val="441A38B2"/>
    <w:rsid w:val="444C2E86"/>
    <w:rsid w:val="445034CF"/>
    <w:rsid w:val="448E6736"/>
    <w:rsid w:val="44BA3279"/>
    <w:rsid w:val="4521502F"/>
    <w:rsid w:val="45351D85"/>
    <w:rsid w:val="455F6BB0"/>
    <w:rsid w:val="4571272E"/>
    <w:rsid w:val="45730429"/>
    <w:rsid w:val="45822AD1"/>
    <w:rsid w:val="45DB0E0E"/>
    <w:rsid w:val="45DE3268"/>
    <w:rsid w:val="465527F4"/>
    <w:rsid w:val="46C92FD3"/>
    <w:rsid w:val="47AC1502"/>
    <w:rsid w:val="47E31241"/>
    <w:rsid w:val="480C30AB"/>
    <w:rsid w:val="4826734C"/>
    <w:rsid w:val="48882E7B"/>
    <w:rsid w:val="4894080B"/>
    <w:rsid w:val="489726C0"/>
    <w:rsid w:val="489848C9"/>
    <w:rsid w:val="489D4B12"/>
    <w:rsid w:val="48B41258"/>
    <w:rsid w:val="48C60FE0"/>
    <w:rsid w:val="492E1D39"/>
    <w:rsid w:val="493C68BD"/>
    <w:rsid w:val="4944559F"/>
    <w:rsid w:val="49787904"/>
    <w:rsid w:val="49CA2130"/>
    <w:rsid w:val="49DF465C"/>
    <w:rsid w:val="49E60D36"/>
    <w:rsid w:val="4A111CDE"/>
    <w:rsid w:val="4A9A36F1"/>
    <w:rsid w:val="4ADA599A"/>
    <w:rsid w:val="4ADF51FB"/>
    <w:rsid w:val="4AF842E2"/>
    <w:rsid w:val="4B041C6F"/>
    <w:rsid w:val="4B117A4A"/>
    <w:rsid w:val="4B43459D"/>
    <w:rsid w:val="4B522B71"/>
    <w:rsid w:val="4B907E7F"/>
    <w:rsid w:val="4BB31956"/>
    <w:rsid w:val="4BB6721E"/>
    <w:rsid w:val="4BB76F8E"/>
    <w:rsid w:val="4BF8722F"/>
    <w:rsid w:val="4C0E3DD8"/>
    <w:rsid w:val="4C1916F3"/>
    <w:rsid w:val="4C2151FE"/>
    <w:rsid w:val="4C2D7B21"/>
    <w:rsid w:val="4C4F31B7"/>
    <w:rsid w:val="4C660B0B"/>
    <w:rsid w:val="4C6645C5"/>
    <w:rsid w:val="4C8F2B8B"/>
    <w:rsid w:val="4CAB1FFF"/>
    <w:rsid w:val="4CB62FF6"/>
    <w:rsid w:val="4CDE5B37"/>
    <w:rsid w:val="4CFD1725"/>
    <w:rsid w:val="4D246FC9"/>
    <w:rsid w:val="4D641ADC"/>
    <w:rsid w:val="4D696445"/>
    <w:rsid w:val="4D7A2D46"/>
    <w:rsid w:val="4DA435D2"/>
    <w:rsid w:val="4DB31BF3"/>
    <w:rsid w:val="4DBE086A"/>
    <w:rsid w:val="4DCE082C"/>
    <w:rsid w:val="4E032750"/>
    <w:rsid w:val="4E274390"/>
    <w:rsid w:val="4E317C7B"/>
    <w:rsid w:val="4E3D76A7"/>
    <w:rsid w:val="4E526607"/>
    <w:rsid w:val="4E810026"/>
    <w:rsid w:val="4EAB60B3"/>
    <w:rsid w:val="4EC91640"/>
    <w:rsid w:val="4EE33A6E"/>
    <w:rsid w:val="4EFD583D"/>
    <w:rsid w:val="4F182610"/>
    <w:rsid w:val="4F1F1040"/>
    <w:rsid w:val="4F2908AC"/>
    <w:rsid w:val="4F7F4C28"/>
    <w:rsid w:val="4FA41027"/>
    <w:rsid w:val="50253067"/>
    <w:rsid w:val="50512EF7"/>
    <w:rsid w:val="50521DC9"/>
    <w:rsid w:val="506B597F"/>
    <w:rsid w:val="506B5B5D"/>
    <w:rsid w:val="50C07071"/>
    <w:rsid w:val="50D24EAF"/>
    <w:rsid w:val="511C76A4"/>
    <w:rsid w:val="513F6BC2"/>
    <w:rsid w:val="514D5773"/>
    <w:rsid w:val="51641797"/>
    <w:rsid w:val="522657E8"/>
    <w:rsid w:val="522B30E3"/>
    <w:rsid w:val="522F2702"/>
    <w:rsid w:val="525D3B78"/>
    <w:rsid w:val="52841905"/>
    <w:rsid w:val="52AE1FE7"/>
    <w:rsid w:val="52D915E5"/>
    <w:rsid w:val="535871A2"/>
    <w:rsid w:val="535A5FE5"/>
    <w:rsid w:val="53CA4D61"/>
    <w:rsid w:val="53D74ED0"/>
    <w:rsid w:val="54504E34"/>
    <w:rsid w:val="54604116"/>
    <w:rsid w:val="54654395"/>
    <w:rsid w:val="547C58B2"/>
    <w:rsid w:val="548F7F9A"/>
    <w:rsid w:val="54BA1CB1"/>
    <w:rsid w:val="54EB1C10"/>
    <w:rsid w:val="54EC6A1E"/>
    <w:rsid w:val="54F91CC5"/>
    <w:rsid w:val="550D3B2E"/>
    <w:rsid w:val="554338EA"/>
    <w:rsid w:val="554849DF"/>
    <w:rsid w:val="55647FAC"/>
    <w:rsid w:val="558D2A96"/>
    <w:rsid w:val="55A62716"/>
    <w:rsid w:val="55B535A9"/>
    <w:rsid w:val="55FD2AC5"/>
    <w:rsid w:val="56176B45"/>
    <w:rsid w:val="56610D3E"/>
    <w:rsid w:val="568F4135"/>
    <w:rsid w:val="569B4E3C"/>
    <w:rsid w:val="56C5217B"/>
    <w:rsid w:val="56E7211B"/>
    <w:rsid w:val="572B287D"/>
    <w:rsid w:val="57310274"/>
    <w:rsid w:val="57724849"/>
    <w:rsid w:val="57B212E7"/>
    <w:rsid w:val="57B8129A"/>
    <w:rsid w:val="57C144EA"/>
    <w:rsid w:val="58036F1E"/>
    <w:rsid w:val="58085E6B"/>
    <w:rsid w:val="58110CA5"/>
    <w:rsid w:val="58663804"/>
    <w:rsid w:val="58BE719A"/>
    <w:rsid w:val="58DB22A0"/>
    <w:rsid w:val="59211FD8"/>
    <w:rsid w:val="59375417"/>
    <w:rsid w:val="594A5EAE"/>
    <w:rsid w:val="595B7664"/>
    <w:rsid w:val="598119FF"/>
    <w:rsid w:val="5A23729C"/>
    <w:rsid w:val="5A5311B1"/>
    <w:rsid w:val="5A7B2F31"/>
    <w:rsid w:val="5AC91470"/>
    <w:rsid w:val="5B8954AA"/>
    <w:rsid w:val="5BB60DE9"/>
    <w:rsid w:val="5BDA6D0E"/>
    <w:rsid w:val="5BF05DCC"/>
    <w:rsid w:val="5C040E1E"/>
    <w:rsid w:val="5C0D2434"/>
    <w:rsid w:val="5C144E64"/>
    <w:rsid w:val="5C3E2B82"/>
    <w:rsid w:val="5C5E28D4"/>
    <w:rsid w:val="5C751F12"/>
    <w:rsid w:val="5C7930DF"/>
    <w:rsid w:val="5C7D205C"/>
    <w:rsid w:val="5CCE0498"/>
    <w:rsid w:val="5D2A4E0C"/>
    <w:rsid w:val="5D3E0F7A"/>
    <w:rsid w:val="5D5938D6"/>
    <w:rsid w:val="5D5A69D1"/>
    <w:rsid w:val="5D775BFF"/>
    <w:rsid w:val="5D7C40C8"/>
    <w:rsid w:val="5D8201D6"/>
    <w:rsid w:val="5D842F97"/>
    <w:rsid w:val="5DB94F82"/>
    <w:rsid w:val="5E341FC3"/>
    <w:rsid w:val="5E866AA5"/>
    <w:rsid w:val="5E972C6A"/>
    <w:rsid w:val="5E985036"/>
    <w:rsid w:val="5EA12125"/>
    <w:rsid w:val="5EAF6AF4"/>
    <w:rsid w:val="5ED45AAE"/>
    <w:rsid w:val="5EFC3A7A"/>
    <w:rsid w:val="5F1F4134"/>
    <w:rsid w:val="5F261235"/>
    <w:rsid w:val="5F822E1B"/>
    <w:rsid w:val="5FB0302E"/>
    <w:rsid w:val="5FB34437"/>
    <w:rsid w:val="5FEB5837"/>
    <w:rsid w:val="60106B84"/>
    <w:rsid w:val="60ED6278"/>
    <w:rsid w:val="611625AE"/>
    <w:rsid w:val="612D0C16"/>
    <w:rsid w:val="615D3CF2"/>
    <w:rsid w:val="61624955"/>
    <w:rsid w:val="616950C6"/>
    <w:rsid w:val="616A38BD"/>
    <w:rsid w:val="61917379"/>
    <w:rsid w:val="61B84137"/>
    <w:rsid w:val="61BD395C"/>
    <w:rsid w:val="61C738F4"/>
    <w:rsid w:val="61CB1642"/>
    <w:rsid w:val="61D22E4F"/>
    <w:rsid w:val="623E43B1"/>
    <w:rsid w:val="624040A2"/>
    <w:rsid w:val="62636F65"/>
    <w:rsid w:val="628B7806"/>
    <w:rsid w:val="62BC05DD"/>
    <w:rsid w:val="62ED4266"/>
    <w:rsid w:val="632D72F5"/>
    <w:rsid w:val="63317739"/>
    <w:rsid w:val="63377D8E"/>
    <w:rsid w:val="6345362E"/>
    <w:rsid w:val="637176CE"/>
    <w:rsid w:val="639A4500"/>
    <w:rsid w:val="63A76B79"/>
    <w:rsid w:val="63BF7B17"/>
    <w:rsid w:val="63EC5BDF"/>
    <w:rsid w:val="641C70E4"/>
    <w:rsid w:val="64446336"/>
    <w:rsid w:val="64684D8E"/>
    <w:rsid w:val="646C70A1"/>
    <w:rsid w:val="647C09C6"/>
    <w:rsid w:val="64E938CF"/>
    <w:rsid w:val="64EF140E"/>
    <w:rsid w:val="652651EA"/>
    <w:rsid w:val="652F5F38"/>
    <w:rsid w:val="65491FE0"/>
    <w:rsid w:val="65931F89"/>
    <w:rsid w:val="66040C02"/>
    <w:rsid w:val="66052B3D"/>
    <w:rsid w:val="6649673A"/>
    <w:rsid w:val="666C158A"/>
    <w:rsid w:val="66930F0A"/>
    <w:rsid w:val="66D62BE3"/>
    <w:rsid w:val="66DD1B86"/>
    <w:rsid w:val="66F81D36"/>
    <w:rsid w:val="66FC32B9"/>
    <w:rsid w:val="670D3022"/>
    <w:rsid w:val="671E2B43"/>
    <w:rsid w:val="676E673E"/>
    <w:rsid w:val="67A63AAF"/>
    <w:rsid w:val="68106D4E"/>
    <w:rsid w:val="6867258C"/>
    <w:rsid w:val="68813BBA"/>
    <w:rsid w:val="68867FFB"/>
    <w:rsid w:val="6899333E"/>
    <w:rsid w:val="68BE4797"/>
    <w:rsid w:val="68D46C28"/>
    <w:rsid w:val="68E25FC1"/>
    <w:rsid w:val="68F459F9"/>
    <w:rsid w:val="69230E15"/>
    <w:rsid w:val="69255CDA"/>
    <w:rsid w:val="69A82A7E"/>
    <w:rsid w:val="69D714D9"/>
    <w:rsid w:val="69E446C5"/>
    <w:rsid w:val="6A433693"/>
    <w:rsid w:val="6A7127E0"/>
    <w:rsid w:val="6A713147"/>
    <w:rsid w:val="6A87687F"/>
    <w:rsid w:val="6A883FDE"/>
    <w:rsid w:val="6AD85456"/>
    <w:rsid w:val="6AE56791"/>
    <w:rsid w:val="6AF819A4"/>
    <w:rsid w:val="6B443D84"/>
    <w:rsid w:val="6B8B53F4"/>
    <w:rsid w:val="6B9B0E83"/>
    <w:rsid w:val="6BC112D4"/>
    <w:rsid w:val="6BDB49CE"/>
    <w:rsid w:val="6C277AEE"/>
    <w:rsid w:val="6C3708EC"/>
    <w:rsid w:val="6C3B7451"/>
    <w:rsid w:val="6C4F4389"/>
    <w:rsid w:val="6C777122"/>
    <w:rsid w:val="6CBF3A1D"/>
    <w:rsid w:val="6D356402"/>
    <w:rsid w:val="6D723D2D"/>
    <w:rsid w:val="6D78625A"/>
    <w:rsid w:val="6D7B384A"/>
    <w:rsid w:val="6D904877"/>
    <w:rsid w:val="6DA82780"/>
    <w:rsid w:val="6DDE7D22"/>
    <w:rsid w:val="6E0849DE"/>
    <w:rsid w:val="6E2172DF"/>
    <w:rsid w:val="6E237037"/>
    <w:rsid w:val="6E243571"/>
    <w:rsid w:val="6E2C5B63"/>
    <w:rsid w:val="6E510460"/>
    <w:rsid w:val="6E5802A7"/>
    <w:rsid w:val="6E61654C"/>
    <w:rsid w:val="6E764659"/>
    <w:rsid w:val="6E9E25FB"/>
    <w:rsid w:val="6EA441DB"/>
    <w:rsid w:val="6EC601BE"/>
    <w:rsid w:val="6F0F1043"/>
    <w:rsid w:val="6F216511"/>
    <w:rsid w:val="6F5C79C9"/>
    <w:rsid w:val="6F7C203A"/>
    <w:rsid w:val="6F94260A"/>
    <w:rsid w:val="6FFC3EEE"/>
    <w:rsid w:val="70071C18"/>
    <w:rsid w:val="70207623"/>
    <w:rsid w:val="702F7B91"/>
    <w:rsid w:val="707C10E6"/>
    <w:rsid w:val="708A3EB2"/>
    <w:rsid w:val="709A7491"/>
    <w:rsid w:val="70AE02BF"/>
    <w:rsid w:val="70E8226A"/>
    <w:rsid w:val="70F91235"/>
    <w:rsid w:val="71151D65"/>
    <w:rsid w:val="714F0E73"/>
    <w:rsid w:val="71523038"/>
    <w:rsid w:val="7173041B"/>
    <w:rsid w:val="71767EB5"/>
    <w:rsid w:val="71824E67"/>
    <w:rsid w:val="71965356"/>
    <w:rsid w:val="71A27499"/>
    <w:rsid w:val="71AC135D"/>
    <w:rsid w:val="71BF00EA"/>
    <w:rsid w:val="71EE14BF"/>
    <w:rsid w:val="71F527F4"/>
    <w:rsid w:val="72042BA2"/>
    <w:rsid w:val="721C1896"/>
    <w:rsid w:val="72390123"/>
    <w:rsid w:val="72441A94"/>
    <w:rsid w:val="72482AB7"/>
    <w:rsid w:val="726827B7"/>
    <w:rsid w:val="726D1EDF"/>
    <w:rsid w:val="72805373"/>
    <w:rsid w:val="72CD44B8"/>
    <w:rsid w:val="72E9034A"/>
    <w:rsid w:val="73006FE2"/>
    <w:rsid w:val="7301425F"/>
    <w:rsid w:val="732F69F7"/>
    <w:rsid w:val="737177E4"/>
    <w:rsid w:val="7390766A"/>
    <w:rsid w:val="73A100DF"/>
    <w:rsid w:val="73A61203"/>
    <w:rsid w:val="73AD5D65"/>
    <w:rsid w:val="73AE286D"/>
    <w:rsid w:val="73C03DED"/>
    <w:rsid w:val="73CC6DA0"/>
    <w:rsid w:val="74050EE1"/>
    <w:rsid w:val="740E4259"/>
    <w:rsid w:val="74837A01"/>
    <w:rsid w:val="749F05CA"/>
    <w:rsid w:val="75176C88"/>
    <w:rsid w:val="752174F4"/>
    <w:rsid w:val="752E6334"/>
    <w:rsid w:val="7541738A"/>
    <w:rsid w:val="754F2FF7"/>
    <w:rsid w:val="7584382C"/>
    <w:rsid w:val="75960E3C"/>
    <w:rsid w:val="75AF22D1"/>
    <w:rsid w:val="75B06B53"/>
    <w:rsid w:val="75B37AB0"/>
    <w:rsid w:val="75CD25A7"/>
    <w:rsid w:val="75DA7718"/>
    <w:rsid w:val="75F645C5"/>
    <w:rsid w:val="75F80B79"/>
    <w:rsid w:val="75FB3232"/>
    <w:rsid w:val="76272E31"/>
    <w:rsid w:val="763F069E"/>
    <w:rsid w:val="76401C21"/>
    <w:rsid w:val="76485EB8"/>
    <w:rsid w:val="764A7AB6"/>
    <w:rsid w:val="76824A42"/>
    <w:rsid w:val="76930E6E"/>
    <w:rsid w:val="76B70A20"/>
    <w:rsid w:val="76DE24EE"/>
    <w:rsid w:val="77113032"/>
    <w:rsid w:val="77217E71"/>
    <w:rsid w:val="7729084B"/>
    <w:rsid w:val="77365181"/>
    <w:rsid w:val="776D145F"/>
    <w:rsid w:val="779A607B"/>
    <w:rsid w:val="77C45618"/>
    <w:rsid w:val="77F739E6"/>
    <w:rsid w:val="78395021"/>
    <w:rsid w:val="78475714"/>
    <w:rsid w:val="78477D64"/>
    <w:rsid w:val="784B3BFA"/>
    <w:rsid w:val="7860057F"/>
    <w:rsid w:val="78656C29"/>
    <w:rsid w:val="78AC03B4"/>
    <w:rsid w:val="78BC305D"/>
    <w:rsid w:val="78CF0B1E"/>
    <w:rsid w:val="790C57C1"/>
    <w:rsid w:val="790D5434"/>
    <w:rsid w:val="791355CD"/>
    <w:rsid w:val="79215835"/>
    <w:rsid w:val="792F6945"/>
    <w:rsid w:val="79445A2A"/>
    <w:rsid w:val="79515B2C"/>
    <w:rsid w:val="797063D9"/>
    <w:rsid w:val="79760AF0"/>
    <w:rsid w:val="79836333"/>
    <w:rsid w:val="7A20786B"/>
    <w:rsid w:val="7A2D7C5E"/>
    <w:rsid w:val="7A7C2ED4"/>
    <w:rsid w:val="7AB36018"/>
    <w:rsid w:val="7ACE0C73"/>
    <w:rsid w:val="7AE87CA2"/>
    <w:rsid w:val="7AEA3EE2"/>
    <w:rsid w:val="7B1B136D"/>
    <w:rsid w:val="7B2418DF"/>
    <w:rsid w:val="7B3E417F"/>
    <w:rsid w:val="7B514D00"/>
    <w:rsid w:val="7B5A164E"/>
    <w:rsid w:val="7B8951A6"/>
    <w:rsid w:val="7BA53D97"/>
    <w:rsid w:val="7C852BB3"/>
    <w:rsid w:val="7CB33030"/>
    <w:rsid w:val="7CC52F79"/>
    <w:rsid w:val="7CD92345"/>
    <w:rsid w:val="7CF213DB"/>
    <w:rsid w:val="7D1D6697"/>
    <w:rsid w:val="7D404697"/>
    <w:rsid w:val="7D622682"/>
    <w:rsid w:val="7D63350F"/>
    <w:rsid w:val="7D6C7744"/>
    <w:rsid w:val="7D7123C5"/>
    <w:rsid w:val="7D7E47BE"/>
    <w:rsid w:val="7D8B0FB0"/>
    <w:rsid w:val="7D937109"/>
    <w:rsid w:val="7DED2F1A"/>
    <w:rsid w:val="7DF91C5E"/>
    <w:rsid w:val="7E102F15"/>
    <w:rsid w:val="7E1A6D3F"/>
    <w:rsid w:val="7E2D7351"/>
    <w:rsid w:val="7E54713A"/>
    <w:rsid w:val="7E904166"/>
    <w:rsid w:val="7E974369"/>
    <w:rsid w:val="7ECF34CA"/>
    <w:rsid w:val="7EF916F1"/>
    <w:rsid w:val="7F736FFB"/>
    <w:rsid w:val="7FD1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autoRedefine/>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大琳子</dc:creator>
  <cp:lastModifiedBy>admin</cp:lastModifiedBy>
  <cp:revision>2</cp:revision>
  <cp:lastPrinted>2024-08-21T08:52:00Z</cp:lastPrinted>
  <dcterms:created xsi:type="dcterms:W3CDTF">2024-08-28T06:04:00Z</dcterms:created>
  <dcterms:modified xsi:type="dcterms:W3CDTF">2024-08-28T06:04:00Z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B88B5B03AB40485E9A76C42D6F258886_11</vt:lpwstr>
  </property>
</Properties>
</file>